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AF2B3">
      <w:pPr>
        <w:pStyle w:val="2"/>
        <w:spacing w:line="276" w:lineRule="auto"/>
        <w:rPr>
          <w:sz w:val="24"/>
          <w:lang w:val="es"/>
        </w:rPr>
      </w:pPr>
      <w:r>
        <w:rPr>
          <w:sz w:val="24"/>
          <w:lang w:val="es"/>
        </w:rPr>
        <w:t>Objetivos de la práctica</w:t>
      </w:r>
    </w:p>
    <w:p w14:paraId="07F5E974">
      <w:pPr>
        <w:spacing w:line="276" w:lineRule="auto"/>
        <w:rPr>
          <w:sz w:val="24"/>
          <w:szCs w:val="24"/>
        </w:rPr>
      </w:pPr>
      <w:r>
        <w:rPr>
          <w:sz w:val="24"/>
          <w:szCs w:val="24"/>
        </w:rPr>
        <w:t xml:space="preserve">La Convención Internacional sobre los Derechos de las Personas con Discapacidad, adoptada por la ONU en 2006, establece en su Artículo 21 el derecho de las personas con discapacidad a la libertad de expresión y de opinión, y el acceso a la información, incluyendo el uso de sistemas aumentativos y alternativos de comunicación (SAAC). El Artículo 24 destaca además el derecho a una educación inclusiva, que garantice el acceso equitativo al aprendizaje, la participación plena y el desarrollo de todo el potencial del alumnado; y el artículo 19 señala el derecho a poder recibir información y difundirla sin barreras por cualquier medio de comunicación. </w:t>
      </w:r>
    </w:p>
    <w:p w14:paraId="08728CC9">
      <w:pPr>
        <w:spacing w:line="276" w:lineRule="auto"/>
      </w:pPr>
      <w:r>
        <w:rPr>
          <w:sz w:val="24"/>
          <w:lang w:val="es"/>
        </w:rPr>
        <w:t xml:space="preserve"> </w:t>
      </w:r>
    </w:p>
    <w:p w14:paraId="512E88FC">
      <w:pPr>
        <w:spacing w:line="276" w:lineRule="auto"/>
        <w:rPr>
          <w:sz w:val="24"/>
          <w:szCs w:val="24"/>
        </w:rPr>
      </w:pPr>
      <w:r>
        <w:rPr>
          <w:sz w:val="24"/>
          <w:szCs w:val="24"/>
        </w:rPr>
        <w:t>En este contexto, el uso de comunicadores dinámicos, dispositivos tecnológicos móviles que permiten generar mensajes a través de símbolos, texto o voz sintetizada, constituye una buena práctica educativa al brindar herramientas al alumnado con las que puedan superar las barreras comunicativas que limitan su participación y su aprendizaje. Los comunicadores dinámicos ofrecen múltiples ventajas frente a los comunicadores digitales más antiguos y a comunicadores en otros formatos como los tableros de comunicación impresos, mucho más rígidos e incómodos para llevar consigo, ya que permiten una interacción más flexible, personalizada y accesible. A diferencia de estos sistemas limitados a secuencias pregrabadas o categorías fijas, los comunicadores dinámicos facilitan una comunicación más fluida y adaptada al contexto.</w:t>
      </w:r>
    </w:p>
    <w:p w14:paraId="364216E0">
      <w:pPr>
        <w:spacing w:line="276" w:lineRule="auto"/>
        <w:rPr>
          <w:sz w:val="24"/>
        </w:rPr>
      </w:pPr>
      <w:r>
        <w:rPr>
          <w:sz w:val="24"/>
          <w:lang w:val="es"/>
        </w:rPr>
        <w:t xml:space="preserve"> </w:t>
      </w:r>
    </w:p>
    <w:p w14:paraId="26AB0022">
      <w:pPr>
        <w:spacing w:line="276" w:lineRule="auto"/>
      </w:pPr>
      <w:r>
        <w:rPr>
          <w:sz w:val="24"/>
        </w:rPr>
        <w:t>El modelo de Calidad de Vida de Schalock y Verdugo (2002) subraya dimensiones clave como la autodeterminación, inclusión social, desarrollo personal y bienestar emocional, todas ellas potenciadas por el uso de tecnologías que permiten a las personas expresarse, tomar decisiones, y comunicarse con autonomía de forma funcional con personas de su entorno y de fuera de él, al no presentar limitaciones en la comprensión por falta de conocimiento del código utilizado en la comunicación.</w:t>
      </w:r>
    </w:p>
    <w:p w14:paraId="07881A83">
      <w:pPr>
        <w:spacing w:line="276" w:lineRule="auto"/>
      </w:pPr>
      <w:r>
        <w:rPr>
          <w:sz w:val="24"/>
          <w:lang w:val="es"/>
        </w:rPr>
        <w:t xml:space="preserve"> </w:t>
      </w:r>
    </w:p>
    <w:p w14:paraId="4232E28A">
      <w:pPr>
        <w:suppressLineNumbers w:val="0"/>
        <w:bidi w:val="0"/>
        <w:spacing w:before="0" w:beforeAutospacing="0" w:after="0" w:afterAutospacing="0" w:line="276" w:lineRule="auto"/>
        <w:ind w:left="0" w:right="0"/>
        <w:jc w:val="left"/>
      </w:pPr>
      <w:r>
        <w:rPr>
          <w:sz w:val="24"/>
          <w:szCs w:val="24"/>
        </w:rPr>
        <w:t xml:space="preserve">El uso de SAAC en entornos educativos no solamente promueve el desarrollo del lenguaje y las habilidades sociales, sino que también incrementa la participación activa del alumnado en el aprendizaje. </w:t>
      </w:r>
    </w:p>
    <w:p w14:paraId="01A4B125">
      <w:pPr>
        <w:spacing w:line="276" w:lineRule="auto"/>
        <w:rPr>
          <w:sz w:val="24"/>
        </w:rPr>
      </w:pPr>
    </w:p>
    <w:p w14:paraId="70C2D17C">
      <w:pPr>
        <w:spacing w:line="276" w:lineRule="auto"/>
        <w:rPr>
          <w:sz w:val="24"/>
          <w:szCs w:val="24"/>
        </w:rPr>
      </w:pPr>
      <w:r>
        <w:rPr>
          <w:sz w:val="24"/>
          <w:szCs w:val="24"/>
        </w:rPr>
        <w:t>Además, los apoyos visuales permanentes (como pictogramas o menús visuales en dispositivos móviles) facilitan la anticipación de rutinas, la comprensión de normas y la regulación emocional.</w:t>
      </w:r>
    </w:p>
    <w:p w14:paraId="717F148F">
      <w:pPr>
        <w:spacing w:line="276" w:lineRule="auto"/>
      </w:pPr>
      <w:r>
        <w:rPr>
          <w:sz w:val="24"/>
          <w:lang w:val="es"/>
        </w:rPr>
        <w:t xml:space="preserve"> </w:t>
      </w:r>
    </w:p>
    <w:p w14:paraId="1043327B">
      <w:pPr>
        <w:spacing w:line="276" w:lineRule="auto"/>
        <w:rPr>
          <w:sz w:val="24"/>
        </w:rPr>
      </w:pPr>
      <w:r>
        <w:rPr>
          <w:sz w:val="24"/>
        </w:rPr>
        <w:t xml:space="preserve">Una ventaja añadida, especialmente relevante en entornos en los que el emisor y el receptor no comparten la misma lengua, es la capacidad de los comunicadores dinámicos para reducir barreras idiomáticas, ya que permiten al usuario seleccionar el idioma de salida del mensaje o acceder a contenidos visuales comprensibles independientemente del idioma oral del interlocutor. </w:t>
      </w:r>
    </w:p>
    <w:p w14:paraId="2587EC25">
      <w:pPr>
        <w:spacing w:line="276" w:lineRule="auto"/>
        <w:rPr>
          <w:sz w:val="24"/>
          <w:lang w:val="es"/>
        </w:rPr>
      </w:pPr>
    </w:p>
    <w:p w14:paraId="5B09FEDC">
      <w:pPr>
        <w:spacing w:line="276" w:lineRule="auto"/>
        <w:rPr>
          <w:sz w:val="24"/>
          <w:szCs w:val="24"/>
          <w:lang w:val="es"/>
        </w:rPr>
      </w:pPr>
      <w:r>
        <w:rPr>
          <w:sz w:val="24"/>
          <w:szCs w:val="24"/>
          <w:lang w:val="es"/>
        </w:rPr>
        <w:t xml:space="preserve">Los objetivos de esta Buena Práctica son: </w:t>
      </w:r>
    </w:p>
    <w:p w14:paraId="5A85F351">
      <w:pPr>
        <w:pStyle w:val="60"/>
        <w:numPr>
          <w:ilvl w:val="0"/>
          <w:numId w:val="4"/>
        </w:numPr>
        <w:spacing w:line="276" w:lineRule="auto"/>
        <w:rPr>
          <w:sz w:val="24"/>
          <w:szCs w:val="24"/>
          <w:lang w:val="es"/>
        </w:rPr>
      </w:pPr>
      <w:r>
        <w:rPr>
          <w:sz w:val="24"/>
          <w:szCs w:val="24"/>
          <w:lang w:val="es"/>
        </w:rPr>
        <w:t>Facilitar la comunicación funcional de personas con dificultades en la comunicación mediante el uso de comunicadores dinámicos adaptados a sus necesidades individuales.</w:t>
      </w:r>
    </w:p>
    <w:p w14:paraId="09A0E389">
      <w:pPr>
        <w:pStyle w:val="60"/>
        <w:numPr>
          <w:ilvl w:val="0"/>
          <w:numId w:val="4"/>
        </w:numPr>
        <w:spacing w:line="276" w:lineRule="auto"/>
        <w:rPr>
          <w:sz w:val="24"/>
          <w:szCs w:val="24"/>
          <w:lang w:val="es"/>
        </w:rPr>
      </w:pPr>
      <w:r>
        <w:rPr>
          <w:sz w:val="24"/>
          <w:szCs w:val="24"/>
          <w:lang w:val="es"/>
        </w:rPr>
        <w:t>Reducir barreras de aprendizaje derivadas de dificultades comunicativas, promoviendo el acceso al currículo y la participación en actividades educativas.</w:t>
      </w:r>
    </w:p>
    <w:p w14:paraId="40359F7C">
      <w:pPr>
        <w:pStyle w:val="60"/>
        <w:numPr>
          <w:ilvl w:val="0"/>
          <w:numId w:val="4"/>
        </w:numPr>
        <w:spacing w:line="276" w:lineRule="auto"/>
        <w:rPr>
          <w:sz w:val="24"/>
          <w:szCs w:val="24"/>
          <w:lang w:val="es"/>
        </w:rPr>
      </w:pPr>
      <w:r>
        <w:rPr>
          <w:sz w:val="24"/>
          <w:szCs w:val="24"/>
          <w:lang w:val="es"/>
        </w:rPr>
        <w:t>Fomentar la autodeterminación y la inclusión social, permitiendo que las personas se expresen, tomen decisiones y se relacionen con su entorno de manera significativa.</w:t>
      </w:r>
    </w:p>
    <w:p w14:paraId="421FE1E2">
      <w:pPr>
        <w:pStyle w:val="60"/>
        <w:numPr>
          <w:ilvl w:val="0"/>
          <w:numId w:val="4"/>
        </w:numPr>
        <w:spacing w:line="276" w:lineRule="auto"/>
        <w:rPr>
          <w:sz w:val="24"/>
          <w:szCs w:val="24"/>
          <w:lang w:val="es"/>
        </w:rPr>
      </w:pPr>
      <w:r>
        <w:rPr>
          <w:sz w:val="24"/>
          <w:szCs w:val="24"/>
          <w:lang w:val="es"/>
        </w:rPr>
        <w:t>Promover el uso de apoyos visuales permanentes, que favorezcan la comprensión del entorno, la anticipación de rutinas y la regulación emocional.</w:t>
      </w:r>
    </w:p>
    <w:p w14:paraId="1525B87A">
      <w:pPr>
        <w:pStyle w:val="60"/>
        <w:numPr>
          <w:ilvl w:val="0"/>
          <w:numId w:val="4"/>
        </w:numPr>
        <w:spacing w:line="276" w:lineRule="auto"/>
        <w:rPr>
          <w:sz w:val="24"/>
          <w:szCs w:val="24"/>
          <w:lang w:val="es"/>
        </w:rPr>
      </w:pPr>
      <w:r>
        <w:rPr>
          <w:sz w:val="24"/>
          <w:szCs w:val="24"/>
          <w:lang w:val="es"/>
        </w:rPr>
        <w:t>Reducir las barreras comunicativas derivadas de diferencias idiomáticas, mediante la configuración multilingüe de los comunicadores y el uso de lenguajes visuales universales.</w:t>
      </w:r>
    </w:p>
    <w:p w14:paraId="2BB30DBB">
      <w:pPr>
        <w:pStyle w:val="60"/>
        <w:numPr>
          <w:ilvl w:val="0"/>
          <w:numId w:val="4"/>
        </w:numPr>
        <w:spacing w:line="276" w:lineRule="auto"/>
        <w:rPr>
          <w:sz w:val="24"/>
          <w:szCs w:val="24"/>
        </w:rPr>
      </w:pPr>
      <w:r>
        <w:rPr>
          <w:sz w:val="24"/>
          <w:szCs w:val="24"/>
        </w:rPr>
        <w:t>Formar al personal educativo y familiar en el uso y mantenimiento de los comunicadores dinámicos para garantizar la continuidad del apoyo en diferentes contextos, así como el seguimiento de unas pautas comunes.</w:t>
      </w:r>
    </w:p>
    <w:p w14:paraId="221C6020">
      <w:pPr>
        <w:pStyle w:val="60"/>
        <w:numPr>
          <w:numId w:val="0"/>
        </w:numPr>
        <w:spacing w:line="276" w:lineRule="auto"/>
        <w:ind w:left="360" w:leftChars="0"/>
        <w:rPr>
          <w:sz w:val="24"/>
          <w:szCs w:val="24"/>
        </w:rPr>
      </w:pPr>
    </w:p>
    <w:p w14:paraId="053D10C5">
      <w:pPr>
        <w:pStyle w:val="2"/>
        <w:spacing w:line="276" w:lineRule="auto"/>
        <w:rPr>
          <w:sz w:val="24"/>
          <w:lang w:val="es"/>
        </w:rPr>
      </w:pPr>
      <w:r>
        <w:rPr>
          <w:sz w:val="24"/>
          <w:lang w:val="es"/>
        </w:rPr>
        <w:t xml:space="preserve">Desarrollo de la práctica </w:t>
      </w:r>
    </w:p>
    <w:p w14:paraId="509522F4">
      <w:pPr>
        <w:suppressLineNumbers w:val="0"/>
        <w:spacing w:before="0" w:beforeAutospacing="0" w:after="0" w:afterAutospacing="0" w:line="276" w:lineRule="auto"/>
        <w:ind w:left="0" w:right="0"/>
        <w:jc w:val="both"/>
        <w:rPr>
          <w:sz w:val="24"/>
          <w:szCs w:val="24"/>
        </w:rPr>
      </w:pPr>
      <w:r>
        <w:rPr>
          <w:sz w:val="24"/>
          <w:szCs w:val="24"/>
        </w:rPr>
        <w:t xml:space="preserve">En los colegios de AFANIAS, Estudio 3 y Nuestra Señora de Las Victorias, el uso de SAAC ha sido un valor dentro del ideario desde el momento de su fundación. Así, se han puesto en marcha diferentes sistemas, ya en desuso la mayoría, y se ha evaluado de forma continua la idoneidad de los mismos, las limitaciones y la generalización de su uso, hasta la apuesta por el uso de los comunicadores dinámicos como SAAC que da respuesta a más necesidades de nuestro alumnado, por su facilidad de uso, su flexibilidad, y la capacidad de personalización, además de ofrecer opciones para garantizar que el receptor del mensaje lo comprende. En la actualidad estamos en plena implementación del uso de comunicadores dinámicos de forma consensuada con las familias en </w:t>
      </w:r>
      <w:r>
        <w:rPr>
          <w:color w:val="auto"/>
          <w:sz w:val="24"/>
          <w:szCs w:val="24"/>
        </w:rPr>
        <w:t>43</w:t>
      </w:r>
      <w:r>
        <w:rPr>
          <w:color w:val="FF0000"/>
          <w:sz w:val="24"/>
          <w:szCs w:val="24"/>
        </w:rPr>
        <w:t xml:space="preserve"> </w:t>
      </w:r>
      <w:r>
        <w:rPr>
          <w:sz w:val="24"/>
          <w:szCs w:val="24"/>
        </w:rPr>
        <w:t xml:space="preserve">alumnos y alumnas de los dos colegios.   </w:t>
      </w:r>
    </w:p>
    <w:p w14:paraId="73ED293F">
      <w:pPr>
        <w:spacing w:line="276" w:lineRule="auto"/>
        <w:jc w:val="both"/>
        <w:rPr>
          <w:sz w:val="24"/>
        </w:rPr>
      </w:pPr>
    </w:p>
    <w:p w14:paraId="7072C8DD">
      <w:pPr>
        <w:spacing w:line="276" w:lineRule="auto"/>
        <w:jc w:val="both"/>
        <w:rPr>
          <w:sz w:val="24"/>
        </w:rPr>
      </w:pPr>
      <w:r>
        <w:rPr>
          <w:sz w:val="24"/>
        </w:rPr>
        <w:t>Algunas de las principales dificultades que nos encontramos en el desarrollo de esta buena práctica:</w:t>
      </w:r>
    </w:p>
    <w:p w14:paraId="5C5FFEC2">
      <w:pPr>
        <w:pStyle w:val="60"/>
        <w:numPr>
          <w:ilvl w:val="0"/>
          <w:numId w:val="5"/>
        </w:numPr>
        <w:spacing w:line="276" w:lineRule="auto"/>
        <w:jc w:val="both"/>
        <w:rPr>
          <w:sz w:val="24"/>
        </w:rPr>
      </w:pPr>
      <w:r>
        <w:rPr>
          <w:b/>
          <w:bCs/>
          <w:sz w:val="24"/>
        </w:rPr>
        <w:t>Falta de formación y conocimiento.</w:t>
      </w:r>
      <w:r>
        <w:rPr>
          <w:sz w:val="24"/>
        </w:rPr>
        <w:t xml:space="preserve"> </w:t>
      </w:r>
    </w:p>
    <w:p w14:paraId="0D5032A3">
      <w:pPr>
        <w:pStyle w:val="60"/>
        <w:spacing w:line="276" w:lineRule="auto"/>
        <w:jc w:val="both"/>
        <w:rPr>
          <w:sz w:val="24"/>
        </w:rPr>
      </w:pPr>
      <w:r>
        <w:rPr>
          <w:sz w:val="24"/>
        </w:rPr>
        <w:t>Docentes, familiares y cuidadores pueden no estar capacitados para usar el comunicador dinámico de manera eficaz. Esto genera una dependencia excesiva del especialista en comunicación que ha iniciado el SAAC.</w:t>
      </w:r>
    </w:p>
    <w:p w14:paraId="091EB0D2">
      <w:pPr>
        <w:pStyle w:val="60"/>
        <w:numPr>
          <w:ilvl w:val="0"/>
          <w:numId w:val="5"/>
        </w:numPr>
        <w:spacing w:line="276" w:lineRule="auto"/>
        <w:jc w:val="both"/>
        <w:rPr>
          <w:sz w:val="24"/>
        </w:rPr>
      </w:pPr>
      <w:r>
        <w:rPr>
          <w:b/>
          <w:bCs/>
          <w:sz w:val="24"/>
        </w:rPr>
        <w:t xml:space="preserve">Resistencia al cambio. </w:t>
      </w:r>
    </w:p>
    <w:p w14:paraId="743ED0FF">
      <w:pPr>
        <w:pStyle w:val="60"/>
        <w:spacing w:line="276" w:lineRule="auto"/>
        <w:jc w:val="both"/>
        <w:rPr>
          <w:sz w:val="24"/>
          <w:szCs w:val="24"/>
        </w:rPr>
      </w:pPr>
      <w:r>
        <w:rPr>
          <w:sz w:val="24"/>
          <w:szCs w:val="24"/>
        </w:rPr>
        <w:t>Algunos adultos pueden resistirse a incorporar nuevas tecnologías o métodos, por desconocimiento, por miedo a no saber utilizarlos, o por subestimar la capacidad de la persona para comunicarse, lo que impide el uso continuo del SAAC.</w:t>
      </w:r>
    </w:p>
    <w:p w14:paraId="4A2C9B56">
      <w:pPr>
        <w:pStyle w:val="60"/>
        <w:numPr>
          <w:ilvl w:val="0"/>
          <w:numId w:val="5"/>
        </w:numPr>
        <w:spacing w:line="276" w:lineRule="auto"/>
        <w:jc w:val="both"/>
        <w:rPr>
          <w:sz w:val="24"/>
        </w:rPr>
      </w:pPr>
      <w:r>
        <w:rPr>
          <w:b/>
          <w:bCs/>
          <w:sz w:val="24"/>
        </w:rPr>
        <w:t>Inconsistencia en su uso.</w:t>
      </w:r>
      <w:r>
        <w:rPr>
          <w:sz w:val="24"/>
        </w:rPr>
        <w:t xml:space="preserve"> </w:t>
      </w:r>
    </w:p>
    <w:p w14:paraId="7E0404CD">
      <w:pPr>
        <w:pStyle w:val="60"/>
        <w:spacing w:line="276" w:lineRule="auto"/>
        <w:jc w:val="both"/>
        <w:rPr>
          <w:sz w:val="24"/>
          <w:szCs w:val="24"/>
        </w:rPr>
      </w:pPr>
      <w:r>
        <w:rPr>
          <w:sz w:val="24"/>
          <w:szCs w:val="24"/>
        </w:rPr>
        <w:t>El uso del SAAC no constante entre la escuela y la familia dificulta la generalización del lenguaje y del vocabulario aprendido.</w:t>
      </w:r>
    </w:p>
    <w:p w14:paraId="797C469C">
      <w:pPr>
        <w:pStyle w:val="60"/>
        <w:numPr>
          <w:ilvl w:val="0"/>
          <w:numId w:val="5"/>
        </w:numPr>
        <w:spacing w:line="276" w:lineRule="auto"/>
        <w:jc w:val="both"/>
        <w:rPr>
          <w:sz w:val="24"/>
        </w:rPr>
      </w:pPr>
      <w:r>
        <w:rPr>
          <w:b/>
          <w:bCs/>
          <w:sz w:val="24"/>
        </w:rPr>
        <w:t>Falta de personalización del comunicador.</w:t>
      </w:r>
      <w:r>
        <w:rPr>
          <w:sz w:val="24"/>
        </w:rPr>
        <w:t xml:space="preserve"> </w:t>
      </w:r>
    </w:p>
    <w:p w14:paraId="062ECB1E">
      <w:pPr>
        <w:pStyle w:val="60"/>
        <w:spacing w:line="276" w:lineRule="auto"/>
        <w:jc w:val="both"/>
        <w:rPr>
          <w:sz w:val="24"/>
        </w:rPr>
      </w:pPr>
      <w:r>
        <w:rPr>
          <w:sz w:val="24"/>
        </w:rPr>
        <w:t>Si el comunicador no se adapta a los intereses, necesidades y rutinas reales del niño en ambos contextos, se vuelve poco funcional y se desmotiva su uso.</w:t>
      </w:r>
    </w:p>
    <w:p w14:paraId="1A9C931B">
      <w:pPr>
        <w:pStyle w:val="60"/>
        <w:numPr>
          <w:ilvl w:val="0"/>
          <w:numId w:val="5"/>
        </w:numPr>
        <w:spacing w:line="276" w:lineRule="auto"/>
        <w:jc w:val="both"/>
        <w:rPr>
          <w:sz w:val="24"/>
        </w:rPr>
      </w:pPr>
      <w:r>
        <w:rPr>
          <w:b/>
          <w:bCs/>
          <w:sz w:val="24"/>
        </w:rPr>
        <w:t>Aspectos económicos.</w:t>
      </w:r>
      <w:r>
        <w:rPr>
          <w:sz w:val="24"/>
        </w:rPr>
        <w:t xml:space="preserve"> </w:t>
      </w:r>
    </w:p>
    <w:p w14:paraId="683030F4">
      <w:pPr>
        <w:pStyle w:val="60"/>
        <w:spacing w:line="276" w:lineRule="auto"/>
        <w:jc w:val="both"/>
        <w:rPr>
          <w:sz w:val="24"/>
        </w:rPr>
      </w:pPr>
      <w:r>
        <w:rPr>
          <w:sz w:val="24"/>
          <w:szCs w:val="24"/>
        </w:rPr>
        <w:t xml:space="preserve">La adquisición de los dispositivos digitales y de las aplicaciones, en algunos casos, puede suponer un desembolso económico importante para familias en situación de vulnerabilidad, aunque los colegios de AFANIAS tienen estrategias para apoyar a estas familias y que esto no sea un problema de cara a la utilización del SAAC. </w:t>
      </w:r>
    </w:p>
    <w:p w14:paraId="56AE90A8">
      <w:pPr>
        <w:pStyle w:val="60"/>
        <w:numPr>
          <w:ilvl w:val="0"/>
          <w:numId w:val="5"/>
        </w:numPr>
        <w:spacing w:line="276" w:lineRule="auto"/>
        <w:jc w:val="both"/>
        <w:rPr>
          <w:sz w:val="24"/>
        </w:rPr>
      </w:pPr>
      <w:r>
        <w:rPr>
          <w:b/>
          <w:bCs/>
          <w:sz w:val="24"/>
        </w:rPr>
        <w:t>Expectativas poco realistas.</w:t>
      </w:r>
      <w:r>
        <w:rPr>
          <w:sz w:val="24"/>
        </w:rPr>
        <w:t xml:space="preserve"> </w:t>
      </w:r>
    </w:p>
    <w:p w14:paraId="4370727B">
      <w:pPr>
        <w:pStyle w:val="60"/>
        <w:spacing w:line="276" w:lineRule="auto"/>
        <w:jc w:val="both"/>
        <w:rPr>
          <w:sz w:val="24"/>
          <w:szCs w:val="24"/>
        </w:rPr>
      </w:pPr>
      <w:r>
        <w:rPr>
          <w:sz w:val="24"/>
          <w:szCs w:val="24"/>
        </w:rPr>
        <w:t>Esperar resultados rápidos puede generar frustración, tanto en familiares como en profesionales. Es un proceso que requiere tiempo, paciencia y práctica diaria.</w:t>
      </w:r>
    </w:p>
    <w:p w14:paraId="1C0B91F7">
      <w:pPr>
        <w:pStyle w:val="60"/>
        <w:numPr>
          <w:ilvl w:val="0"/>
          <w:numId w:val="5"/>
        </w:numPr>
        <w:spacing w:line="276" w:lineRule="auto"/>
        <w:jc w:val="both"/>
        <w:rPr>
          <w:b w:val="0"/>
          <w:bCs w:val="0"/>
          <w:sz w:val="24"/>
          <w:szCs w:val="24"/>
        </w:rPr>
      </w:pPr>
      <w:r>
        <w:rPr>
          <w:b/>
          <w:bCs/>
          <w:sz w:val="24"/>
          <w:szCs w:val="24"/>
        </w:rPr>
        <w:t>Limitación de las funciones del lenguaje.</w:t>
      </w:r>
    </w:p>
    <w:p w14:paraId="06579C30">
      <w:pPr>
        <w:pStyle w:val="60"/>
        <w:spacing w:line="276" w:lineRule="auto"/>
        <w:ind w:left="720"/>
        <w:jc w:val="both"/>
        <w:rPr>
          <w:b w:val="0"/>
          <w:bCs w:val="0"/>
          <w:sz w:val="24"/>
          <w:szCs w:val="24"/>
        </w:rPr>
      </w:pPr>
      <w:r>
        <w:rPr>
          <w:b w:val="0"/>
          <w:bCs w:val="0"/>
          <w:sz w:val="24"/>
          <w:szCs w:val="24"/>
        </w:rPr>
        <w:t xml:space="preserve">Usar el comunicador únicamente como herramienta para realizar peticiones, y no como una herramienta comunicativa en sí misma para desarrollar las funciones del lenguaje en su totalidad. </w:t>
      </w:r>
    </w:p>
    <w:p w14:paraId="59F8780D">
      <w:pPr>
        <w:pStyle w:val="60"/>
        <w:spacing w:line="276" w:lineRule="auto"/>
        <w:jc w:val="both"/>
        <w:rPr>
          <w:sz w:val="24"/>
        </w:rPr>
      </w:pPr>
    </w:p>
    <w:p w14:paraId="5F7C415F">
      <w:pPr>
        <w:pStyle w:val="60"/>
        <w:spacing w:line="276" w:lineRule="auto"/>
        <w:jc w:val="both"/>
        <w:rPr>
          <w:sz w:val="24"/>
        </w:rPr>
      </w:pPr>
      <w:bookmarkStart w:id="0" w:name="_GoBack"/>
      <w:bookmarkEnd w:id="0"/>
    </w:p>
    <w:p w14:paraId="50307CC1">
      <w:pPr>
        <w:pStyle w:val="2"/>
        <w:spacing w:line="276" w:lineRule="auto"/>
        <w:rPr>
          <w:sz w:val="24"/>
          <w:lang w:val="es"/>
        </w:rPr>
      </w:pPr>
      <w:r>
        <w:rPr>
          <w:sz w:val="24"/>
          <w:lang w:val="es"/>
        </w:rPr>
        <w:t>Método empleado para la puesta en marcha</w:t>
      </w:r>
    </w:p>
    <w:p w14:paraId="6A9A26E3">
      <w:pPr>
        <w:spacing w:line="276" w:lineRule="auto"/>
        <w:rPr>
          <w:lang w:val="es"/>
        </w:rPr>
      </w:pPr>
    </w:p>
    <w:p w14:paraId="232A5552">
      <w:pPr>
        <w:spacing w:line="276" w:lineRule="auto"/>
        <w:jc w:val="both"/>
        <w:rPr>
          <w:sz w:val="24"/>
          <w:lang w:val="es"/>
        </w:rPr>
      </w:pPr>
      <w:r>
        <w:rPr>
          <w:sz w:val="24"/>
        </w:rPr>
        <w:t>La implantación de esta buena práctica en el uso de comunicadores dinámicos con alumnos con discapacidad intelectual y alumnos autistas se basa en la sistematización, la colaboración y la personalización, combinando aspectos pedagógicos, tecnológicos y emocionales:</w:t>
      </w:r>
      <w:r>
        <w:rPr>
          <w:sz w:val="24"/>
          <w:lang w:val="es"/>
        </w:rPr>
        <w:t xml:space="preserve"> </w:t>
      </w:r>
    </w:p>
    <w:p w14:paraId="47C73F7E">
      <w:pPr>
        <w:spacing w:line="276" w:lineRule="auto"/>
        <w:jc w:val="both"/>
        <w:rPr>
          <w:sz w:val="24"/>
          <w:lang w:val="es"/>
        </w:rPr>
      </w:pPr>
      <w:r>
        <w:rPr>
          <w:sz w:val="24"/>
          <w:lang w:val="es"/>
        </w:rPr>
        <w:t xml:space="preserve"> </w:t>
      </w:r>
    </w:p>
    <w:p w14:paraId="2A1875FC">
      <w:pPr>
        <w:pStyle w:val="60"/>
        <w:numPr>
          <w:ilvl w:val="0"/>
          <w:numId w:val="6"/>
        </w:numPr>
        <w:spacing w:line="276" w:lineRule="auto"/>
        <w:jc w:val="both"/>
        <w:rPr>
          <w:sz w:val="24"/>
          <w:lang w:val="es"/>
        </w:rPr>
      </w:pPr>
      <w:r>
        <w:rPr>
          <w:sz w:val="24"/>
          <w:lang w:val="es"/>
        </w:rPr>
        <w:t xml:space="preserve">Evaluación inicial y diagnóstico funcional. </w:t>
      </w:r>
    </w:p>
    <w:p w14:paraId="18413E3E">
      <w:pPr>
        <w:pStyle w:val="60"/>
        <w:numPr>
          <w:ilvl w:val="0"/>
          <w:numId w:val="7"/>
        </w:numPr>
        <w:spacing w:line="276" w:lineRule="auto"/>
        <w:jc w:val="both"/>
        <w:rPr>
          <w:sz w:val="24"/>
          <w:szCs w:val="24"/>
          <w:lang w:val="es"/>
        </w:rPr>
      </w:pPr>
      <w:r>
        <w:rPr>
          <w:sz w:val="24"/>
          <w:szCs w:val="24"/>
        </w:rPr>
        <w:t xml:space="preserve">Se identifican las capacidades comunicativas, cognitivas y emocionales de los alumnos y alumnas candidatos al uso del SAAC. </w:t>
      </w:r>
    </w:p>
    <w:p w14:paraId="79D03810">
      <w:pPr>
        <w:pStyle w:val="60"/>
        <w:numPr>
          <w:ilvl w:val="0"/>
          <w:numId w:val="7"/>
        </w:numPr>
        <w:spacing w:line="276" w:lineRule="auto"/>
        <w:jc w:val="both"/>
        <w:rPr>
          <w:sz w:val="24"/>
          <w:szCs w:val="24"/>
          <w:lang w:val="es"/>
        </w:rPr>
      </w:pPr>
      <w:r>
        <w:rPr>
          <w:sz w:val="24"/>
          <w:szCs w:val="24"/>
          <w:lang w:val="es"/>
        </w:rPr>
        <w:t xml:space="preserve">Se valora el entorno (familiar y escolar) para conocer rutinas, intereses y necesidades reales. </w:t>
      </w:r>
    </w:p>
    <w:p w14:paraId="3E74E3A6">
      <w:pPr>
        <w:pStyle w:val="60"/>
        <w:numPr>
          <w:ilvl w:val="0"/>
          <w:numId w:val="7"/>
        </w:numPr>
        <w:spacing w:line="276" w:lineRule="auto"/>
        <w:jc w:val="both"/>
        <w:rPr>
          <w:sz w:val="24"/>
          <w:szCs w:val="24"/>
          <w:lang w:val="es"/>
        </w:rPr>
      </w:pPr>
      <w:r>
        <w:rPr>
          <w:sz w:val="24"/>
          <w:szCs w:val="24"/>
          <w:lang w:val="es"/>
        </w:rPr>
        <w:t>Se define si el comunicador dinámico es la herramienta más adecuada frente a otros SAAC.</w:t>
      </w:r>
    </w:p>
    <w:p w14:paraId="427F1B59">
      <w:pPr>
        <w:pStyle w:val="60"/>
        <w:numPr>
          <w:ilvl w:val="0"/>
          <w:numId w:val="6"/>
        </w:numPr>
        <w:spacing w:line="276" w:lineRule="auto"/>
        <w:jc w:val="both"/>
        <w:rPr>
          <w:sz w:val="24"/>
          <w:lang w:val="es"/>
        </w:rPr>
      </w:pPr>
      <w:r>
        <w:rPr>
          <w:sz w:val="24"/>
          <w:lang w:val="es"/>
        </w:rPr>
        <w:t xml:space="preserve">Selección del comunicador y configuración personalizada. </w:t>
      </w:r>
    </w:p>
    <w:p w14:paraId="79893B55">
      <w:pPr>
        <w:pStyle w:val="60"/>
        <w:numPr>
          <w:ilvl w:val="0"/>
          <w:numId w:val="8"/>
        </w:numPr>
        <w:spacing w:line="276" w:lineRule="auto"/>
        <w:jc w:val="both"/>
        <w:rPr>
          <w:sz w:val="24"/>
          <w:szCs w:val="24"/>
          <w:lang w:val="es"/>
        </w:rPr>
      </w:pPr>
      <w:r>
        <w:rPr>
          <w:sz w:val="24"/>
          <w:szCs w:val="24"/>
        </w:rPr>
        <w:t xml:space="preserve">Se escoge el software y dispositivo más apropiado.  </w:t>
      </w:r>
    </w:p>
    <w:p w14:paraId="3D0E1095">
      <w:pPr>
        <w:pStyle w:val="60"/>
        <w:numPr>
          <w:ilvl w:val="0"/>
          <w:numId w:val="8"/>
        </w:numPr>
        <w:spacing w:line="276" w:lineRule="auto"/>
        <w:jc w:val="both"/>
        <w:rPr>
          <w:sz w:val="24"/>
          <w:szCs w:val="24"/>
          <w:lang w:val="es"/>
        </w:rPr>
      </w:pPr>
      <w:r>
        <w:rPr>
          <w:sz w:val="24"/>
          <w:szCs w:val="24"/>
        </w:rPr>
        <w:t xml:space="preserve">Se personaliza el vocabulario con palabras funcionales, intereses de los alumnos y alumnas, rutinas y situaciones habituales. </w:t>
      </w:r>
    </w:p>
    <w:p w14:paraId="21A7D1ED">
      <w:pPr>
        <w:pStyle w:val="60"/>
        <w:numPr>
          <w:ilvl w:val="0"/>
          <w:numId w:val="8"/>
        </w:numPr>
        <w:spacing w:line="276" w:lineRule="auto"/>
        <w:jc w:val="both"/>
        <w:rPr>
          <w:sz w:val="24"/>
          <w:szCs w:val="24"/>
        </w:rPr>
      </w:pPr>
      <w:r>
        <w:rPr>
          <w:sz w:val="24"/>
          <w:szCs w:val="24"/>
        </w:rPr>
        <w:t>Se agregan tableros de comunicación con pictogramas o símbolos para representar estados que cubran el registro emocional de las personas.</w:t>
      </w:r>
    </w:p>
    <w:p w14:paraId="7DE090A1">
      <w:pPr>
        <w:pStyle w:val="60"/>
        <w:numPr>
          <w:ilvl w:val="0"/>
          <w:numId w:val="6"/>
        </w:numPr>
        <w:spacing w:line="276" w:lineRule="auto"/>
        <w:jc w:val="both"/>
        <w:rPr>
          <w:sz w:val="24"/>
          <w:lang w:val="es"/>
        </w:rPr>
      </w:pPr>
      <w:r>
        <w:rPr>
          <w:sz w:val="24"/>
          <w:lang w:val="es"/>
        </w:rPr>
        <w:t xml:space="preserve">Capacitación del entorno. </w:t>
      </w:r>
    </w:p>
    <w:p w14:paraId="229AF679">
      <w:pPr>
        <w:pStyle w:val="60"/>
        <w:numPr>
          <w:ilvl w:val="0"/>
          <w:numId w:val="9"/>
        </w:numPr>
        <w:spacing w:line="276" w:lineRule="auto"/>
        <w:jc w:val="both"/>
        <w:rPr>
          <w:sz w:val="24"/>
          <w:szCs w:val="24"/>
          <w:lang w:val="es"/>
        </w:rPr>
      </w:pPr>
      <w:r>
        <w:rPr>
          <w:sz w:val="24"/>
          <w:szCs w:val="24"/>
          <w:lang w:val="es"/>
        </w:rPr>
        <w:t xml:space="preserve">Se forma a docentes, auxiliares técnicos educativos, terapeutas y familia en el uso técnico y pedagógico del comunicador. </w:t>
      </w:r>
    </w:p>
    <w:p w14:paraId="50870658">
      <w:pPr>
        <w:pStyle w:val="60"/>
        <w:numPr>
          <w:ilvl w:val="0"/>
          <w:numId w:val="9"/>
        </w:numPr>
        <w:spacing w:line="276" w:lineRule="auto"/>
        <w:jc w:val="both"/>
        <w:rPr>
          <w:sz w:val="24"/>
          <w:szCs w:val="24"/>
          <w:lang w:val="es"/>
        </w:rPr>
      </w:pPr>
      <w:r>
        <w:rPr>
          <w:sz w:val="24"/>
          <w:szCs w:val="24"/>
          <w:lang w:val="es"/>
        </w:rPr>
        <w:t xml:space="preserve">Se enseña a modelar el uso del comunicador, es decir, que los adultos también lo utilicen para comunicarse, mostrando cómo se usa en contexto de comunicación natural.  </w:t>
      </w:r>
    </w:p>
    <w:p w14:paraId="74B7B611">
      <w:pPr>
        <w:pStyle w:val="60"/>
        <w:numPr>
          <w:ilvl w:val="0"/>
          <w:numId w:val="6"/>
        </w:numPr>
        <w:spacing w:line="276" w:lineRule="auto"/>
        <w:jc w:val="both"/>
        <w:rPr>
          <w:sz w:val="24"/>
          <w:lang w:val="es"/>
        </w:rPr>
      </w:pPr>
      <w:r>
        <w:rPr>
          <w:sz w:val="24"/>
          <w:lang w:val="es"/>
        </w:rPr>
        <w:t xml:space="preserve">Integración en rutinas diarias. </w:t>
      </w:r>
    </w:p>
    <w:p w14:paraId="25F32BF1">
      <w:pPr>
        <w:pStyle w:val="60"/>
        <w:numPr>
          <w:ilvl w:val="0"/>
          <w:numId w:val="10"/>
        </w:numPr>
        <w:spacing w:line="276" w:lineRule="auto"/>
        <w:jc w:val="both"/>
        <w:rPr>
          <w:sz w:val="24"/>
          <w:szCs w:val="24"/>
          <w:lang w:val="es"/>
        </w:rPr>
      </w:pPr>
      <w:r>
        <w:rPr>
          <w:sz w:val="24"/>
          <w:szCs w:val="24"/>
          <w:lang w:val="es"/>
        </w:rPr>
        <w:t xml:space="preserve">El comunicador se usa de forma natural y funcional dentro de las actividades cotidianas: asambleas, recreos, juegos, actividades académicas y momentos de autorregulación. </w:t>
      </w:r>
    </w:p>
    <w:p w14:paraId="2B882B1F">
      <w:pPr>
        <w:pStyle w:val="60"/>
        <w:numPr>
          <w:ilvl w:val="0"/>
          <w:numId w:val="6"/>
        </w:numPr>
        <w:spacing w:line="276" w:lineRule="auto"/>
        <w:jc w:val="both"/>
        <w:rPr>
          <w:sz w:val="24"/>
          <w:lang w:val="es"/>
        </w:rPr>
      </w:pPr>
      <w:r>
        <w:rPr>
          <w:sz w:val="24"/>
          <w:lang w:val="es"/>
        </w:rPr>
        <w:t xml:space="preserve">Estrategias de autorregulación emocional. </w:t>
      </w:r>
    </w:p>
    <w:p w14:paraId="4E78E8BF">
      <w:pPr>
        <w:pStyle w:val="60"/>
        <w:numPr>
          <w:ilvl w:val="0"/>
          <w:numId w:val="11"/>
        </w:numPr>
        <w:spacing w:line="276" w:lineRule="auto"/>
        <w:jc w:val="both"/>
        <w:rPr>
          <w:sz w:val="24"/>
          <w:szCs w:val="24"/>
          <w:lang w:val="es"/>
        </w:rPr>
      </w:pPr>
      <w:r>
        <w:rPr>
          <w:sz w:val="24"/>
          <w:szCs w:val="24"/>
          <w:lang w:val="es"/>
        </w:rPr>
        <w:t>Se practican rutinas de calma (respiraciones, elección de un espacio tranquilo, actividades sensoriales) apoyadas con el comunicador.</w:t>
      </w:r>
    </w:p>
    <w:p w14:paraId="38224A22">
      <w:pPr>
        <w:pStyle w:val="60"/>
        <w:numPr>
          <w:ilvl w:val="0"/>
          <w:numId w:val="11"/>
        </w:numPr>
        <w:spacing w:line="276" w:lineRule="auto"/>
        <w:jc w:val="both"/>
        <w:rPr>
          <w:sz w:val="24"/>
          <w:szCs w:val="24"/>
        </w:rPr>
      </w:pPr>
      <w:r>
        <w:rPr>
          <w:sz w:val="24"/>
          <w:szCs w:val="24"/>
        </w:rPr>
        <w:t>Se elaboran apoyos visuales que permanezcan el tiempo que necesiten los alumnos y alumnas hasta que regresen a un estado de bienestar emocional.</w:t>
      </w:r>
    </w:p>
    <w:p w14:paraId="68AC3972">
      <w:pPr>
        <w:pStyle w:val="60"/>
        <w:numPr>
          <w:ilvl w:val="0"/>
          <w:numId w:val="6"/>
        </w:numPr>
        <w:spacing w:line="276" w:lineRule="auto"/>
        <w:jc w:val="both"/>
        <w:rPr>
          <w:sz w:val="24"/>
          <w:lang w:val="es"/>
        </w:rPr>
      </w:pPr>
      <w:r>
        <w:rPr>
          <w:sz w:val="24"/>
          <w:lang w:val="es"/>
        </w:rPr>
        <w:t xml:space="preserve">Seguimiento y ajustes continuos. </w:t>
      </w:r>
    </w:p>
    <w:p w14:paraId="1889B010">
      <w:pPr>
        <w:pStyle w:val="60"/>
        <w:numPr>
          <w:ilvl w:val="0"/>
          <w:numId w:val="12"/>
        </w:numPr>
        <w:spacing w:line="276" w:lineRule="auto"/>
        <w:jc w:val="both"/>
        <w:rPr>
          <w:sz w:val="24"/>
          <w:szCs w:val="24"/>
          <w:lang w:val="es"/>
        </w:rPr>
      </w:pPr>
      <w:r>
        <w:rPr>
          <w:sz w:val="24"/>
          <w:szCs w:val="24"/>
          <w:lang w:val="es"/>
        </w:rPr>
        <w:t xml:space="preserve">Se evalúa periódicamente el uso del comunicador, la evolución del lenguaje y las mejoras en la autorregulación emocional. </w:t>
      </w:r>
    </w:p>
    <w:p w14:paraId="58535177">
      <w:pPr>
        <w:pStyle w:val="60"/>
        <w:numPr>
          <w:ilvl w:val="0"/>
          <w:numId w:val="12"/>
        </w:numPr>
        <w:spacing w:line="276" w:lineRule="auto"/>
        <w:jc w:val="both"/>
        <w:rPr>
          <w:sz w:val="24"/>
          <w:szCs w:val="24"/>
          <w:lang w:val="es"/>
        </w:rPr>
      </w:pPr>
      <w:r>
        <w:rPr>
          <w:sz w:val="24"/>
          <w:szCs w:val="24"/>
        </w:rPr>
        <w:t xml:space="preserve">Se hacen ajustes dinámicos al contenido del comunicador según el desarrollo de los alumnos y alumnas, ampliando el vocabulario. </w:t>
      </w:r>
    </w:p>
    <w:p w14:paraId="657DAFBD">
      <w:pPr>
        <w:pStyle w:val="60"/>
        <w:numPr>
          <w:ilvl w:val="0"/>
          <w:numId w:val="13"/>
        </w:numPr>
        <w:spacing w:line="276" w:lineRule="auto"/>
        <w:jc w:val="both"/>
        <w:rPr>
          <w:sz w:val="24"/>
          <w:szCs w:val="24"/>
          <w:lang w:val="es"/>
        </w:rPr>
      </w:pPr>
      <w:r>
        <w:rPr>
          <w:sz w:val="24"/>
          <w:szCs w:val="24"/>
          <w:lang w:val="es"/>
        </w:rPr>
        <w:t>Se promueve la coherencia entre escuela y familia para reforzar aprendizajes.</w:t>
      </w:r>
    </w:p>
    <w:p w14:paraId="5FBEEE04">
      <w:pPr>
        <w:pStyle w:val="60"/>
        <w:numPr>
          <w:ilvl w:val="0"/>
          <w:numId w:val="6"/>
        </w:numPr>
        <w:spacing w:line="276" w:lineRule="auto"/>
        <w:jc w:val="both"/>
        <w:rPr>
          <w:sz w:val="24"/>
          <w:lang w:val="es"/>
        </w:rPr>
      </w:pPr>
      <w:r>
        <w:rPr>
          <w:sz w:val="24"/>
          <w:lang w:val="es"/>
        </w:rPr>
        <w:t xml:space="preserve">Registro de avances y buenas prácticas. </w:t>
      </w:r>
    </w:p>
    <w:p w14:paraId="63240AA6">
      <w:pPr>
        <w:pStyle w:val="60"/>
        <w:numPr>
          <w:ilvl w:val="0"/>
          <w:numId w:val="14"/>
        </w:numPr>
        <w:spacing w:line="276" w:lineRule="auto"/>
        <w:jc w:val="both"/>
        <w:rPr>
          <w:sz w:val="24"/>
          <w:szCs w:val="24"/>
          <w:lang w:val="es"/>
        </w:rPr>
      </w:pPr>
      <w:r>
        <w:rPr>
          <w:sz w:val="24"/>
          <w:szCs w:val="24"/>
        </w:rPr>
        <w:t>Se documentan casos de éxito, estrategias efectivas y situaciones de mejora, con el fin de elaborar un</w:t>
      </w:r>
      <w:r>
        <w:rPr>
          <w:sz w:val="24"/>
          <w:szCs w:val="24"/>
          <w:lang w:val="es"/>
        </w:rPr>
        <w:t>a guía interna o protocolo de uso que pueda aplicarse con otros alumnos.</w:t>
      </w:r>
    </w:p>
    <w:p w14:paraId="37C2F1BD">
      <w:pPr>
        <w:pStyle w:val="2"/>
        <w:spacing w:line="276" w:lineRule="auto"/>
        <w:rPr>
          <w:sz w:val="24"/>
          <w:lang w:val="es"/>
        </w:rPr>
      </w:pPr>
      <w:r>
        <w:rPr>
          <w:sz w:val="24"/>
          <w:lang w:val="es"/>
        </w:rPr>
        <w:t xml:space="preserve">Principales resultados obtenidos. </w:t>
      </w:r>
    </w:p>
    <w:p w14:paraId="330DF125">
      <w:pPr>
        <w:pStyle w:val="60"/>
        <w:numPr>
          <w:ilvl w:val="0"/>
          <w:numId w:val="15"/>
        </w:numPr>
        <w:suppressLineNumbers w:val="0"/>
        <w:bidi w:val="0"/>
        <w:spacing w:before="0" w:beforeAutospacing="0" w:after="0" w:afterAutospacing="0" w:line="276" w:lineRule="auto"/>
        <w:ind w:right="0"/>
        <w:jc w:val="left"/>
        <w:rPr>
          <w:color w:val="auto"/>
          <w:sz w:val="24"/>
          <w:szCs w:val="24"/>
          <w:lang w:val="es"/>
        </w:rPr>
      </w:pPr>
      <w:r>
        <w:rPr>
          <w:color w:val="auto"/>
          <w:sz w:val="24"/>
          <w:szCs w:val="24"/>
          <w:lang w:val="es"/>
        </w:rPr>
        <w:t>Adquisición funcional de las diferentes funciones del lenguaje.</w:t>
      </w:r>
    </w:p>
    <w:p w14:paraId="698F4B2E">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Los alumnos y alumnas han ampliado el uso del lenguaje más allá de la petición, incorporando funciones como saludar, protestar, opinar, describir, preguntar o narrar hechos.</w:t>
      </w:r>
    </w:p>
    <w:p w14:paraId="40A05832">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 xml:space="preserve">Se producen más situaciones en las que se usa de forma espontánea el comunicador dinámico entre compañeros y con los adultos. </w:t>
      </w:r>
    </w:p>
    <w:p w14:paraId="2CD61E29">
      <w:pPr>
        <w:pStyle w:val="60"/>
        <w:numPr>
          <w:ilvl w:val="0"/>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Favorecimiento de la comunicación efectiva en diferentes contextos.</w:t>
      </w:r>
    </w:p>
    <w:p w14:paraId="52E7FB41">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El uso del comunicador se ha integrado en distintas rutinas escolares y familiares, permitiendo a los alumnos y alumnas expresarse de forma autónoma.</w:t>
      </w:r>
    </w:p>
    <w:p w14:paraId="41932F7D">
      <w:pPr>
        <w:pStyle w:val="60"/>
        <w:numPr>
          <w:ilvl w:val="0"/>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Fomento de la inclusión social y educativa.</w:t>
      </w:r>
    </w:p>
    <w:p w14:paraId="34E94802">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El acceso a un SAAC dinámico ha permitido a los alumnos y alumnas participar activamente en actividades grupales, asumir roles en el aula y contribuir en decisiones compartidas.</w:t>
      </w:r>
    </w:p>
    <w:p w14:paraId="519A868E">
      <w:pPr>
        <w:pStyle w:val="60"/>
        <w:numPr>
          <w:ilvl w:val="0"/>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Apoyo a la autorregulación emocional.</w:t>
      </w:r>
    </w:p>
    <w:p w14:paraId="1E26C1BF">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Se ha documentado una disminución de episodios de desregulación emocional gracias a la posibilidad de anticipar, pedir ayuda o expresar malestar mediante el comunicador.</w:t>
      </w:r>
    </w:p>
    <w:p w14:paraId="7C3E9FB0">
      <w:pPr>
        <w:pStyle w:val="60"/>
        <w:numPr>
          <w:ilvl w:val="0"/>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Individualización y accesibilidad.</w:t>
      </w:r>
    </w:p>
    <w:p w14:paraId="2677E324">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Los comunicadores se adaptan a los diferentes perfiles y procesos de maduración.</w:t>
      </w:r>
    </w:p>
    <w:p w14:paraId="6746EAA9">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La personalización del contenido se revisa periódicamente para garantizar la funcionalidad del SAAC.</w:t>
      </w:r>
    </w:p>
    <w:p w14:paraId="69F525E2">
      <w:pPr>
        <w:pStyle w:val="60"/>
        <w:numPr>
          <w:ilvl w:val="0"/>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Trabajo colaborativo entre profesionales y familias.</w:t>
      </w:r>
    </w:p>
    <w:p w14:paraId="2175C7AA">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Se evidencia una coordinación efectiva entre el colegio y la familia para garantizar el uso coherente del comunicador en todos los entornos de los alumnos y alumnas.</w:t>
      </w:r>
    </w:p>
    <w:p w14:paraId="504B0F2D">
      <w:pPr>
        <w:pStyle w:val="60"/>
        <w:numPr>
          <w:ilvl w:val="1"/>
          <w:numId w:val="15"/>
        </w:numPr>
        <w:suppressLineNumbers w:val="0"/>
        <w:bidi w:val="0"/>
        <w:spacing w:before="0" w:beforeAutospacing="0" w:after="0" w:afterAutospacing="0" w:line="276" w:lineRule="auto"/>
        <w:ind w:right="0"/>
        <w:jc w:val="left"/>
        <w:rPr>
          <w:color w:val="auto"/>
          <w:sz w:val="24"/>
          <w:szCs w:val="24"/>
          <w:lang w:val="es-ES"/>
        </w:rPr>
      </w:pPr>
      <w:r>
        <w:rPr>
          <w:color w:val="auto"/>
          <w:sz w:val="24"/>
          <w:szCs w:val="24"/>
          <w:lang w:val="es-ES"/>
        </w:rPr>
        <w:t xml:space="preserve">Las familias han sido formadas y acompañadas en el uso del comunicador fuera del colegio, lo que ha mejorado la generalización de los aprendizajes y el vínculo familiar. </w:t>
      </w:r>
    </w:p>
    <w:p w14:paraId="128EA08E">
      <w:pPr>
        <w:suppressLineNumbers w:val="0"/>
        <w:bidi w:val="0"/>
        <w:spacing w:before="0" w:beforeAutospacing="0" w:after="0" w:afterAutospacing="0" w:line="276" w:lineRule="auto"/>
        <w:ind w:left="0" w:right="0"/>
        <w:jc w:val="left"/>
        <w:rPr>
          <w:color w:val="auto"/>
          <w:sz w:val="24"/>
          <w:szCs w:val="24"/>
          <w:lang w:val="es"/>
        </w:rPr>
      </w:pPr>
      <w:r>
        <w:rPr>
          <w:color w:val="auto"/>
          <w:sz w:val="24"/>
          <w:szCs w:val="24"/>
          <w:lang w:val="es"/>
        </w:rPr>
        <w:t>Enlace a testimonios:</w:t>
      </w:r>
      <w:r>
        <w:rPr>
          <w:color w:val="auto"/>
          <w:sz w:val="22"/>
          <w:szCs w:val="22"/>
          <w:lang w:val="es"/>
        </w:rPr>
        <w:t xml:space="preserve"> </w:t>
      </w:r>
      <w:r>
        <w:fldChar w:fldCharType="begin"/>
      </w:r>
      <w:r>
        <w:instrText xml:space="preserve"> HYPERLINK "https://drive.google.com/drive/folders/1qADMBKRiRjhlHJJrT1C-NNOTKKAExHdQ?usp=drive_link" \h </w:instrText>
      </w:r>
      <w:r>
        <w:fldChar w:fldCharType="separate"/>
      </w:r>
      <w:r>
        <w:rPr>
          <w:rStyle w:val="9"/>
          <w:sz w:val="24"/>
          <w:szCs w:val="24"/>
          <w:lang w:val="es"/>
        </w:rPr>
        <w:t>Beneficios de la BP</w:t>
      </w:r>
      <w:r>
        <w:rPr>
          <w:rStyle w:val="9"/>
          <w:sz w:val="24"/>
          <w:szCs w:val="24"/>
          <w:lang w:val="es"/>
        </w:rPr>
        <w:fldChar w:fldCharType="end"/>
      </w:r>
    </w:p>
    <w:p w14:paraId="5023A44C">
      <w:pPr>
        <w:pStyle w:val="2"/>
        <w:spacing w:line="276" w:lineRule="auto"/>
        <w:rPr>
          <w:sz w:val="24"/>
          <w:lang w:val="es"/>
        </w:rPr>
      </w:pPr>
      <w:r>
        <w:rPr>
          <w:sz w:val="24"/>
          <w:lang w:val="es"/>
        </w:rPr>
        <w:t>Aspectos del trabajo que pueden ser relevantes para el tercer sector</w:t>
      </w:r>
    </w:p>
    <w:p w14:paraId="4B119D8A">
      <w:pPr>
        <w:spacing w:line="276" w:lineRule="auto"/>
        <w:jc w:val="both"/>
        <w:rPr>
          <w:sz w:val="24"/>
          <w:szCs w:val="24"/>
        </w:rPr>
      </w:pPr>
      <w:r>
        <w:rPr>
          <w:sz w:val="24"/>
          <w:szCs w:val="24"/>
        </w:rPr>
        <w:t>Esta buena práctica favorece el derecho a la comunicación y la inclusión Además, su implementación genera beneficios comunitarios, como la formación de redes de apoyo, la capacitación de familias y profesionales, y la creación de entornos más accesibles. También supone una oportunidad de impulsar campañas de sensibilización, reducir barreras de acceso a tecnologías, y fomentar alianzas entre organizaciones sociales, instituciones educativas y entidades públicas. Un beneficio adicional es su capacidad para facilitar la aproximación entre personas con barreras idiomáticas, promoviendo así la inclusión más allá de la discapacidad. Esta práctica se alinea con los objetivos del tercer sector de generar justicia social e igualdad de oportunidades.</w:t>
      </w:r>
    </w:p>
    <w:p w14:paraId="6569F479">
      <w:pPr>
        <w:spacing w:line="276" w:lineRule="auto"/>
        <w:jc w:val="both"/>
        <w:rPr>
          <w:sz w:val="24"/>
          <w:szCs w:val="24"/>
          <w:lang w:val="es"/>
        </w:rPr>
      </w:pPr>
    </w:p>
    <w:p w14:paraId="0917A326">
      <w:pPr>
        <w:pStyle w:val="2"/>
        <w:spacing w:line="276" w:lineRule="auto"/>
        <w:rPr>
          <w:sz w:val="24"/>
          <w:lang w:val="es"/>
        </w:rPr>
      </w:pPr>
      <w:r>
        <w:rPr>
          <w:sz w:val="24"/>
          <w:lang w:val="es"/>
        </w:rPr>
        <w:t xml:space="preserve">Conclusiones </w:t>
      </w:r>
    </w:p>
    <w:p w14:paraId="19C359DB">
      <w:pPr>
        <w:spacing w:line="276" w:lineRule="auto"/>
        <w:jc w:val="both"/>
      </w:pPr>
      <w:r>
        <w:rPr>
          <w:sz w:val="24"/>
          <w:szCs w:val="24"/>
        </w:rPr>
        <w:t>La implementación de comunicadores dinámicos, pues, no solamente mejora la comunicación y la autorregulación emocional, sino que también favorece la equidad, fortalece vínculos entre familias, escuelas y comunidades, y abre nuevas posibilidades de interacción incluso entre personas con barreras idiomáticas. Además, enriquece al Movimiento Asociativo al ofrecer nuevas líneas de actuación, fomentar el trabajo en red y visibilizar el potencial de las personas con discapacidad, consolidándose como una práctica clave para construir entornos más accesibles, empáticos y participativos.</w:t>
      </w:r>
    </w:p>
    <w:p w14:paraId="0EBD09CD">
      <w:pPr>
        <w:spacing w:line="276" w:lineRule="auto"/>
        <w:rPr>
          <w:sz w:val="24"/>
          <w:szCs w:val="22"/>
          <w:lang w:val="es"/>
        </w:rPr>
      </w:pPr>
    </w:p>
    <w:sectPr>
      <w:headerReference r:id="rId5" w:type="default"/>
      <w:footerReference r:id="rId6" w:type="default"/>
      <w:pgSz w:w="11906" w:h="16838"/>
      <w:pgMar w:top="2431" w:right="1134" w:bottom="816" w:left="1134" w:header="0" w:footer="0" w:gutter="0"/>
      <w:pgNumType w:start="1"/>
      <w:cols w:space="72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Noto Sans CJK SC Regular">
    <w:altName w:val="Times New Roman"/>
    <w:panose1 w:val="00000000000000000000"/>
    <w:charset w:val="01"/>
    <w:family w:val="auto"/>
    <w:pitch w:val="default"/>
    <w:sig w:usb0="00000000" w:usb1="00000000" w:usb2="00000000" w:usb3="00000000" w:csb0="00000000" w:csb1="00000000"/>
  </w:font>
  <w:font w:name="FreeSans">
    <w:altName w:val="Times New Roman"/>
    <w:panose1 w:val="00000000000000000000"/>
    <w:charset w:val="01"/>
    <w:family w:val="auto"/>
    <w:pitch w:val="default"/>
    <w:sig w:usb0="00000000" w:usb1="00000000" w:usb2="00000000" w:usb3="00000000" w:csb0="00000000" w:csb1="00000000"/>
  </w:font>
  <w:font w:name="Mangal">
    <w:altName w:val="Segoe Print"/>
    <w:panose1 w:val="00000400000000000000"/>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F4F3C">
    <w:pPr>
      <w:pStyle w:val="23"/>
    </w:pPr>
    <w:r>
      <w:rPr>
        <w:lang w:val="es"/>
      </w:rPr>
      <mc:AlternateContent>
        <mc:Choice Requires="wps">
          <w:drawing>
            <wp:anchor distT="0" distB="0" distL="114300" distR="114300" simplePos="0" relativeHeight="251667456" behindDoc="0" locked="0" layoutInCell="1" allowOverlap="1">
              <wp:simplePos x="0" y="0"/>
              <wp:positionH relativeFrom="page">
                <wp:posOffset>572135</wp:posOffset>
              </wp:positionH>
              <wp:positionV relativeFrom="page">
                <wp:posOffset>10307320</wp:posOffset>
              </wp:positionV>
              <wp:extent cx="5116830" cy="313690"/>
              <wp:effectExtent l="0" t="0" r="1270" b="3810"/>
              <wp:wrapTight wrapText="bothSides">
                <wp:wrapPolygon>
                  <wp:start x="0" y="0"/>
                  <wp:lineTo x="0" y="20988"/>
                  <wp:lineTo x="21552" y="20988"/>
                  <wp:lineTo x="21552" y="0"/>
                  <wp:lineTo x="0" y="0"/>
                </wp:wrapPolygon>
              </wp:wrapTight>
              <wp:docPr id="18" name="Text Box 8"/>
              <wp:cNvGraphicFramePr/>
              <a:graphic xmlns:a="http://schemas.openxmlformats.org/drawingml/2006/main">
                <a:graphicData uri="http://schemas.microsoft.com/office/word/2010/wordprocessingShape">
                  <wps:wsp>
                    <wps:cNvSpPr txBox="1"/>
                    <wps:spPr bwMode="auto">
                      <a:xfrm>
                        <a:off x="0" y="0"/>
                        <a:ext cx="5116945" cy="313978"/>
                      </a:xfrm>
                      <a:prstGeom prst="rect">
                        <a:avLst/>
                      </a:prstGeom>
                      <a:noFill/>
                      <a:ln>
                        <a:noFill/>
                      </a:ln>
                    </wps:spPr>
                    <wps:txbx>
                      <w:txbxContent>
                        <w:p w14:paraId="604FD74E">
                          <w:pPr>
                            <w:pStyle w:val="53"/>
                          </w:pPr>
                          <w:r>
                            <w:fldChar w:fldCharType="begin"/>
                          </w:r>
                          <w:r>
                            <w:instrText xml:space="preserve"> HYPERLINK "http://www.plenainclusion.org" </w:instrText>
                          </w:r>
                          <w:r>
                            <w:fldChar w:fldCharType="separate"/>
                          </w:r>
                          <w:r>
                            <w:rPr>
                              <w:rStyle w:val="9"/>
                              <w:lang w:val="es"/>
                            </w:rPr>
                            <w:t>www.plenainclusion.org</w:t>
                          </w:r>
                          <w:r>
                            <w:rPr>
                              <w:rStyle w:val="9"/>
                              <w:lang w:val="es"/>
                            </w:rPr>
                            <w:fldChar w:fldCharType="end"/>
                          </w:r>
                          <w:r>
                            <w:rPr>
                              <w:lang w:val="es"/>
                            </w:rPr>
                            <w:t xml:space="preserve"> </w:t>
                          </w:r>
                        </w:p>
                        <w:p w14:paraId="7203BF79">
                          <w:pPr>
                            <w:rPr>
                              <w:sz w:val="20"/>
                              <w:szCs w:val="20"/>
                            </w:rPr>
                          </w:pPr>
                        </w:p>
                      </w:txbxContent>
                    </wps:txbx>
                    <wps:bodyPr rot="0" vert="horz" wrap="square" lIns="0" tIns="0" rIns="0" bIns="0" anchor="t" anchorCtr="0" upright="1">
                      <a:noAutofit/>
                    </wps:bodyPr>
                  </wps:wsp>
                </a:graphicData>
              </a:graphic>
            </wp:anchor>
          </w:drawing>
        </mc:Choice>
        <mc:Fallback>
          <w:pict>
            <v:shape id="Text Box 8" o:spid="_x0000_s1026" o:spt="202" type="#_x0000_t202" style="position:absolute;left:0pt;margin-left:45.05pt;margin-top:811.6pt;height:24.7pt;width:402.9pt;mso-position-horizontal-relative:page;mso-position-vertical-relative:page;mso-wrap-distance-left:9pt;mso-wrap-distance-right:9pt;z-index:251667456;mso-width-relative:page;mso-height-relative:page;" filled="f" stroked="f" coordsize="21600,21600" wrapcoords="0 0 0 20988 21552 20988 21552 0 0 0" o:gfxdata="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RZtOdoA&#10;AAAMAQAADwAAAAAAAAABACAAAAAiAAAAZHJzL2Rvd25yZXYueG1sUEsBAhQAFAAAAAgAh07iQIa9&#10;ux/kAQAA1QMAAA4AAAAAAAAAAQAgAAAAKQEAAGRycy9lMm9Eb2MueG1sUEsFBgAAAAAGAAYAWQEA&#10;AH8FAAAAAA==&#10;">
              <v:fill on="f" focussize="0,0"/>
              <v:stroke on="f"/>
              <v:imagedata o:title=""/>
              <o:lock v:ext="edit" aspectratio="f"/>
              <v:textbox inset="0mm,0mm,0mm,0mm">
                <w:txbxContent>
                  <w:p w14:paraId="604FD74E">
                    <w:pPr>
                      <w:pStyle w:val="53"/>
                    </w:pPr>
                    <w:r>
                      <w:fldChar w:fldCharType="begin"/>
                    </w:r>
                    <w:r>
                      <w:instrText xml:space="preserve"> HYPERLINK "http://www.plenainclusion.org" </w:instrText>
                    </w:r>
                    <w:r>
                      <w:fldChar w:fldCharType="separate"/>
                    </w:r>
                    <w:r>
                      <w:rPr>
                        <w:rStyle w:val="9"/>
                        <w:lang w:val="es"/>
                      </w:rPr>
                      <w:t>www.plenainclusion.org</w:t>
                    </w:r>
                    <w:r>
                      <w:rPr>
                        <w:rStyle w:val="9"/>
                        <w:lang w:val="es"/>
                      </w:rPr>
                      <w:fldChar w:fldCharType="end"/>
                    </w:r>
                    <w:r>
                      <w:rPr>
                        <w:lang w:val="es"/>
                      </w:rPr>
                      <w:t xml:space="preserve"> </w:t>
                    </w:r>
                  </w:p>
                  <w:p w14:paraId="7203BF79">
                    <w:pPr>
                      <w:rPr>
                        <w:sz w:val="20"/>
                        <w:szCs w:val="20"/>
                      </w:rPr>
                    </w:pPr>
                  </w:p>
                </w:txbxContent>
              </v:textbox>
              <w10:wrap type="tight"/>
            </v:shape>
          </w:pict>
        </mc:Fallback>
      </mc:AlternateContent>
    </w:r>
    <w:r>
      <w:rPr>
        <w:lang w:val="es"/>
      </w:rPr>
      <mc:AlternateContent>
        <mc:Choice Requires="wps">
          <w:drawing>
            <wp:anchor distT="0" distB="0" distL="114300" distR="114300" simplePos="0" relativeHeight="251665408" behindDoc="0" locked="0" layoutInCell="1" allowOverlap="1">
              <wp:simplePos x="0" y="0"/>
              <wp:positionH relativeFrom="page">
                <wp:posOffset>5624830</wp:posOffset>
              </wp:positionH>
              <wp:positionV relativeFrom="page">
                <wp:posOffset>10298430</wp:posOffset>
              </wp:positionV>
              <wp:extent cx="1662430" cy="323215"/>
              <wp:effectExtent l="0" t="0" r="1905" b="6985"/>
              <wp:wrapTight wrapText="bothSides">
                <wp:wrapPolygon>
                  <wp:start x="0" y="0"/>
                  <wp:lineTo x="0" y="21218"/>
                  <wp:lineTo x="21460" y="21218"/>
                  <wp:lineTo x="21460" y="0"/>
                  <wp:lineTo x="0" y="0"/>
                </wp:wrapPolygon>
              </wp:wrapTight>
              <wp:docPr id="16" name="Text Box 8"/>
              <wp:cNvGraphicFramePr/>
              <a:graphic xmlns:a="http://schemas.openxmlformats.org/drawingml/2006/main">
                <a:graphicData uri="http://schemas.microsoft.com/office/word/2010/wordprocessingShape">
                  <wps:wsp>
                    <wps:cNvSpPr txBox="1"/>
                    <wps:spPr bwMode="auto">
                      <a:xfrm>
                        <a:off x="0" y="0"/>
                        <a:ext cx="1662315" cy="323273"/>
                      </a:xfrm>
                      <a:prstGeom prst="rect">
                        <a:avLst/>
                      </a:prstGeom>
                      <a:noFill/>
                      <a:ln>
                        <a:noFill/>
                      </a:ln>
                    </wps:spPr>
                    <wps:txbx>
                      <w:txbxContent>
                        <w:p w14:paraId="5BC1A5E7">
                          <w:pPr>
                            <w:pStyle w:val="23"/>
                          </w:pPr>
                          <w:r>
                            <w:rPr>
                              <w:lang w:val="es"/>
                            </w:rPr>
                            <w:t xml:space="preserve">Página </w:t>
                          </w:r>
                          <w:r>
                            <w:rPr>
                              <w:lang w:val="es"/>
                            </w:rPr>
                            <w:fldChar w:fldCharType="begin"/>
                          </w:r>
                          <w:r>
                            <w:rPr>
                              <w:lang w:val="es"/>
                            </w:rPr>
                            <w:instrText xml:space="preserve"> PAGE </w:instrText>
                          </w:r>
                          <w:r>
                            <w:rPr>
                              <w:lang w:val="es"/>
                            </w:rPr>
                            <w:fldChar w:fldCharType="separate"/>
                          </w:r>
                          <w:r>
                            <w:rPr>
                              <w:lang w:val="es"/>
                            </w:rPr>
                            <w:t>1</w:t>
                          </w:r>
                          <w:r>
                            <w:rPr>
                              <w:lang w:val="es"/>
                            </w:rPr>
                            <w:fldChar w:fldCharType="end"/>
                          </w:r>
                          <w:r>
                            <w:rPr>
                              <w:lang w:val="es"/>
                            </w:rPr>
                            <w:t xml:space="preserve"> de </w:t>
                          </w:r>
                          <w:r>
                            <w:rPr>
                              <w:lang w:val="es"/>
                            </w:rPr>
                            <w:fldChar w:fldCharType="begin"/>
                          </w:r>
                          <w:r>
                            <w:rPr>
                              <w:lang w:val="es"/>
                            </w:rPr>
                            <w:instrText xml:space="preserve"> NUMPAGES </w:instrText>
                          </w:r>
                          <w:r>
                            <w:rPr>
                              <w:lang w:val="es"/>
                            </w:rPr>
                            <w:fldChar w:fldCharType="separate"/>
                          </w:r>
                          <w:r>
                            <w:rPr>
                              <w:lang w:val="es"/>
                            </w:rPr>
                            <w:t>2</w:t>
                          </w:r>
                          <w:r>
                            <w:rPr>
                              <w:lang w:val="es"/>
                            </w:rPr>
                            <w:fldChar w:fldCharType="end"/>
                          </w:r>
                        </w:p>
                      </w:txbxContent>
                    </wps:txbx>
                    <wps:bodyPr rot="0" vert="horz" wrap="square" lIns="0" tIns="0" rIns="0" bIns="0" anchor="t" anchorCtr="0" upright="1">
                      <a:noAutofit/>
                    </wps:bodyPr>
                  </wps:wsp>
                </a:graphicData>
              </a:graphic>
            </wp:anchor>
          </w:drawing>
        </mc:Choice>
        <mc:Fallback>
          <w:pict>
            <v:shape id="Text Box 8" o:spid="_x0000_s1026" o:spt="202" type="#_x0000_t202" style="position:absolute;left:0pt;margin-left:442.9pt;margin-top:810.9pt;height:25.45pt;width:130.9pt;mso-position-horizontal-relative:page;mso-position-vertical-relative:page;mso-wrap-distance-left:9pt;mso-wrap-distance-right:9pt;z-index:251665408;mso-width-relative:page;mso-height-relative:page;" filled="f" stroked="f" coordsize="21600,21600" wrapcoords="0 0 0 21218 21460 21218 21460 0 0 0" o:gfxdata="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ygEcd2wAA&#10;AA4BAAAPAAAAAAAAAAEAIAAAACIAAABkcnMvZG93bnJldi54bWxQSwECFAAUAAAACACHTuJAwPVf&#10;yeIBAADVAwAADgAAAAAAAAABACAAAAAqAQAAZHJzL2Uyb0RvYy54bWxQSwUGAAAAAAYABgBZAQAA&#10;fgUAAAAA&#10;">
              <v:fill on="f" focussize="0,0"/>
              <v:stroke on="f"/>
              <v:imagedata o:title=""/>
              <o:lock v:ext="edit" aspectratio="f"/>
              <v:textbox inset="0mm,0mm,0mm,0mm">
                <w:txbxContent>
                  <w:p w14:paraId="5BC1A5E7">
                    <w:pPr>
                      <w:pStyle w:val="23"/>
                    </w:pPr>
                    <w:r>
                      <w:rPr>
                        <w:lang w:val="es"/>
                      </w:rPr>
                      <w:t xml:space="preserve">Página </w:t>
                    </w:r>
                    <w:r>
                      <w:rPr>
                        <w:lang w:val="es"/>
                      </w:rPr>
                      <w:fldChar w:fldCharType="begin"/>
                    </w:r>
                    <w:r>
                      <w:rPr>
                        <w:lang w:val="es"/>
                      </w:rPr>
                      <w:instrText xml:space="preserve"> PAGE </w:instrText>
                    </w:r>
                    <w:r>
                      <w:rPr>
                        <w:lang w:val="es"/>
                      </w:rPr>
                      <w:fldChar w:fldCharType="separate"/>
                    </w:r>
                    <w:r>
                      <w:rPr>
                        <w:lang w:val="es"/>
                      </w:rPr>
                      <w:t>1</w:t>
                    </w:r>
                    <w:r>
                      <w:rPr>
                        <w:lang w:val="es"/>
                      </w:rPr>
                      <w:fldChar w:fldCharType="end"/>
                    </w:r>
                    <w:r>
                      <w:rPr>
                        <w:lang w:val="es"/>
                      </w:rPr>
                      <w:t xml:space="preserve"> de </w:t>
                    </w:r>
                    <w:r>
                      <w:rPr>
                        <w:lang w:val="es"/>
                      </w:rPr>
                      <w:fldChar w:fldCharType="begin"/>
                    </w:r>
                    <w:r>
                      <w:rPr>
                        <w:lang w:val="es"/>
                      </w:rPr>
                      <w:instrText xml:space="preserve"> NUMPAGES </w:instrText>
                    </w:r>
                    <w:r>
                      <w:rPr>
                        <w:lang w:val="es"/>
                      </w:rPr>
                      <w:fldChar w:fldCharType="separate"/>
                    </w:r>
                    <w:r>
                      <w:rPr>
                        <w:lang w:val="es"/>
                      </w:rPr>
                      <w:t>2</w:t>
                    </w:r>
                    <w:r>
                      <w:rPr>
                        <w:lang w:val="es"/>
                      </w:rPr>
                      <w:fldChar w:fldCharType="end"/>
                    </w:r>
                  </w:p>
                </w:txbxContent>
              </v:textbox>
              <w10:wrap type="tight"/>
            </v:shape>
          </w:pict>
        </mc:Fallback>
      </mc:AlternateContent>
    </w:r>
    <w:r>
      <w:rPr>
        <w:lang w:val="es"/>
      </w:rPr>
      <mc:AlternateContent>
        <mc:Choice Requires="wps">
          <w:drawing>
            <wp:anchor distT="0" distB="0" distL="114300" distR="114300" simplePos="0" relativeHeight="251666432" behindDoc="0" locked="0" layoutInCell="1" allowOverlap="1">
              <wp:simplePos x="0" y="0"/>
              <wp:positionH relativeFrom="column">
                <wp:posOffset>-812165</wp:posOffset>
              </wp:positionH>
              <wp:positionV relativeFrom="paragraph">
                <wp:posOffset>-208280</wp:posOffset>
              </wp:positionV>
              <wp:extent cx="831215" cy="803275"/>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pPr>
                            <w:rPr>
                              <w:color w:val="FFFFFF" w:themeColor="background1"/>
                              <w14:textFill>
                                <w14:noFill/>
                              </w14:textFill>
                            </w:rPr>
                          </w:pPr>
                          <w:r>
                            <w:rPr>
                              <w:color w:val="FFFFFF" w:themeColor="background1"/>
                              <w:lang w:val="es"/>
                              <w14:textFill>
                                <w14:noFill/>
                              </w14:textFill>
                            </w:rPr>
                            <w:drawing>
                              <wp:inline distT="0" distB="0" distL="0" distR="0">
                                <wp:extent cx="431800" cy="520700"/>
                                <wp:effectExtent l="0" t="0" r="0" b="0"/>
                                <wp:docPr id="11" name="Imagen 11" descr="Trébol verde cuatro tonalidades inspirado en el logo de plena inclusión " title="Imagen trébol ver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rébol verde cuatro tonalidades inspirado en el logo de plena inclusión " title="Imagen trébol verde "/>
                                        <pic:cNvPicPr>
                                          <a:picLocks noChangeAspect="1"/>
                                        </pic:cNvPicPr>
                                      </pic:nvPicPr>
                                      <pic:blipFill>
                                        <a:blip r:embed="rId1"/>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3.95pt;margin-top:-16.4pt;height:63.25pt;width:65.45pt;z-index:251666432;mso-width-relative:page;mso-height-relative:page;" filled="f" stroked="f" coordsize="21600,21600" o:gfxdata="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04SZVtoAAAAJAQAADwAAAAAAAAABACAAAAAiAAAAZHJzL2Rvd25yZXYu&#10;eG1sUEsBAhQAFAAAAAgAh07iQAtqT0AyAgAAbQQAAA4AAAAAAAAAAQAgAAAAKQEAAGRycy9lMm9E&#10;b2MueG1sUEsFBgAAAAAGAAYAWQEAAM0FAAAAAA==&#10;">
              <v:fill on="f" focussize="0,0"/>
              <v:stroke on="f" weight="0.5pt"/>
              <v:imagedata o:title=""/>
              <o:lock v:ext="edit" aspectratio="f"/>
              <v:textbox>
                <w:txbxContent>
                  <w:p w14:paraId="25B0F7D9">
                    <w:pPr>
                      <w:rPr>
                        <w:color w:val="FFFFFF" w:themeColor="background1"/>
                        <w14:textFill>
                          <w14:noFill/>
                        </w14:textFill>
                      </w:rPr>
                    </w:pPr>
                    <w:r>
                      <w:rPr>
                        <w:color w:val="FFFFFF" w:themeColor="background1"/>
                        <w:lang w:val="es"/>
                        <w14:textFill>
                          <w14:noFill/>
                        </w14:textFill>
                      </w:rPr>
                      <w:drawing>
                        <wp:inline distT="0" distB="0" distL="0" distR="0">
                          <wp:extent cx="431800" cy="520700"/>
                          <wp:effectExtent l="0" t="0" r="0" b="0"/>
                          <wp:docPr id="11" name="Imagen 11" descr="Trébol verde cuatro tonalidades inspirado en el logo de plena inclusión " title="Imagen trébol ver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rébol verde cuatro tonalidades inspirado en el logo de plena inclusión " title="Imagen trébol verde "/>
                                  <pic:cNvPicPr>
                                    <a:picLocks noChangeAspect="1"/>
                                  </pic:cNvPicPr>
                                </pic:nvPicPr>
                                <pic:blipFill>
                                  <a:blip r:embed="rId1"/>
                                  <a:stretch>
                                    <a:fillRect/>
                                  </a:stretch>
                                </pic:blipFill>
                                <pic:spPr>
                                  <a:xfrm>
                                    <a:off x="0" y="0"/>
                                    <a:ext cx="431800" cy="520700"/>
                                  </a:xfrm>
                                  <a:prstGeom prst="rect">
                                    <a:avLst/>
                                  </a:prstGeom>
                                </pic:spPr>
                              </pic:pic>
                            </a:graphicData>
                          </a:graphic>
                        </wp:inline>
                      </w:drawing>
                    </w:r>
                  </w:p>
                </w:txbxContent>
              </v:textbox>
            </v:shape>
          </w:pict>
        </mc:Fallback>
      </mc:AlternateContent>
    </w:r>
    <w:r>
      <w:rPr>
        <w:lang w:val="es"/>
      </w:rPr>
      <mc:AlternateContent>
        <mc:Choice Requires="wps">
          <w:drawing>
            <wp:anchor distT="0" distB="0" distL="114300" distR="114300" simplePos="0" relativeHeight="251661312" behindDoc="0" locked="0" layoutInCell="1" allowOverlap="1">
              <wp:simplePos x="0" y="0"/>
              <wp:positionH relativeFrom="page">
                <wp:posOffset>0</wp:posOffset>
              </wp:positionH>
              <wp:positionV relativeFrom="page">
                <wp:posOffset>10169525</wp:posOffset>
              </wp:positionV>
              <wp:extent cx="7611745" cy="535940"/>
              <wp:effectExtent l="0" t="0" r="0" b="0"/>
              <wp:wrapTight wrapText="bothSides">
                <wp:wrapPolygon>
                  <wp:start x="0" y="0"/>
                  <wp:lineTo x="0" y="20986"/>
                  <wp:lineTo x="21551" y="20986"/>
                  <wp:lineTo x="21551" y="0"/>
                  <wp:lineTo x="0" y="0"/>
                </wp:wrapPolygon>
              </wp:wrapTight>
              <wp:docPr id="305" name="Rectangle 2"/>
              <wp:cNvGraphicFramePr/>
              <a:graphic xmlns:a="http://schemas.openxmlformats.org/drawingml/2006/main">
                <a:graphicData uri="http://schemas.microsoft.com/office/word/2010/wordprocessingShape">
                  <wps:wsp>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anchor>
          </w:drawing>
        </mc:Choice>
        <mc:Fallback>
          <w:pict>
            <v:rect id="Rectangle 2" o:spid="_x0000_s1026" o:spt="1" style="position:absolute;left:0pt;margin-left:0pt;margin-top:800.75pt;height:42.2pt;width:599.35pt;mso-position-horizontal-relative:page;mso-position-vertical-relative:page;mso-wrap-distance-left:9pt;mso-wrap-distance-right:9pt;z-index:251661312;mso-width-relative:page;mso-height-relative:page;" fillcolor="#F2F2F2 [3052]" filled="t" stroked="f" coordsize="21600,21600" wrapcoords="0 0 0 20986 21551 20986 21551 0 0 0" o:gfxdata="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3i+922gAAAAsBAAAPAAAAAAAAAAEAIAAA&#10;ACIAAABkcnMvZG93bnJldi54bWxQSwECFAAUAAAACACHTuJADIL5hgoCAAArBAAADgAAAAAAAAAB&#10;ACAAAAApAQAAZHJzL2Uyb0RvYy54bWxQSwUGAAAAAAYABgBZAQAApQUAAAAA&#10;">
              <v:fill on="t" focussize="0,0"/>
              <v:stroke on="f"/>
              <v:imagedata o:title=""/>
              <o:lock v:ext="edit" aspectratio="f"/>
              <v:textbox inset="2.54mm,2.54mm,2.54mm,2.54mm"/>
              <w10:wrap type="tight"/>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3A7F">
    <w:pPr>
      <w:tabs>
        <w:tab w:val="left" w:pos="742"/>
      </w:tabs>
    </w:pPr>
    <w:r>
      <w:rPr>
        <w:lang w:val="es"/>
      </w:rPr>
      <mc:AlternateContent>
        <mc:Choice Requires="wps">
          <w:drawing>
            <wp:anchor distT="0" distB="0" distL="114300" distR="114300" simplePos="0" relativeHeight="251660288" behindDoc="1" locked="0" layoutInCell="1" allowOverlap="1">
              <wp:simplePos x="0" y="0"/>
              <wp:positionH relativeFrom="page">
                <wp:posOffset>2571750</wp:posOffset>
              </wp:positionH>
              <wp:positionV relativeFrom="page">
                <wp:posOffset>552450</wp:posOffset>
              </wp:positionV>
              <wp:extent cx="2590800" cy="483870"/>
              <wp:effectExtent l="0" t="0" r="0" b="11430"/>
              <wp:wrapTight wrapText="bothSides">
                <wp:wrapPolygon>
                  <wp:start x="0" y="0"/>
                  <wp:lineTo x="0" y="21260"/>
                  <wp:lineTo x="21441" y="21260"/>
                  <wp:lineTo x="21441" y="0"/>
                  <wp:lineTo x="0" y="0"/>
                </wp:wrapPolygon>
              </wp:wrapTight>
              <wp:docPr id="307" name="Text Box 4"/>
              <wp:cNvGraphicFramePr/>
              <a:graphic xmlns:a="http://schemas.openxmlformats.org/drawingml/2006/main">
                <a:graphicData uri="http://schemas.microsoft.com/office/word/2010/wordprocessingShape">
                  <wps:wsp>
                    <wps:cNvSpPr txBox="1"/>
                    <wps:spPr bwMode="auto">
                      <a:xfrm>
                        <a:off x="0" y="0"/>
                        <a:ext cx="2590800" cy="483870"/>
                      </a:xfrm>
                      <a:prstGeom prst="rect">
                        <a:avLst/>
                      </a:prstGeom>
                      <a:noFill/>
                      <a:ln>
                        <a:noFill/>
                      </a:ln>
                    </wps:spPr>
                    <wps:txbx>
                      <w:txbxContent>
                        <w:p w14:paraId="043237FC">
                          <w:pPr>
                            <w:rPr>
                              <w:rFonts w:cs="Arial"/>
                              <w:color w:val="0D0D0D"/>
                              <w:sz w:val="20"/>
                              <w:szCs w:val="20"/>
                            </w:rPr>
                          </w:pPr>
                          <w:r>
                            <w:drawing>
                              <wp:inline distT="0" distB="0" distL="0" distR="0">
                                <wp:extent cx="2533650" cy="516255"/>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a:picLocks noChangeAspect="1"/>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202.5pt;margin-top:43.5pt;height:38.1pt;width:204pt;mso-position-horizontal-relative:page;mso-position-vertical-relative:page;mso-wrap-distance-left:9pt;mso-wrap-distance-right:9pt;z-index:-251656192;mso-width-relative:page;mso-height-relative:page;" filled="f" stroked="f" coordsize="21600,21600" wrapcoords="0 0 0 21260 21441 21260 21441 0 0 0" o:gfxdata="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41do9kA&#10;AAAKAQAADwAAAAAAAAABACAAAAAiAAAAZHJzL2Rvd25yZXYueG1sUEsBAhQAFAAAAAgAh07iQED/&#10;zIjlAQAA1gMAAA4AAAAAAAAAAQAgAAAAKAEAAGRycy9lMm9Eb2MueG1sUEsFBgAAAAAGAAYAWQEA&#10;AH8FAAAAAA==&#10;">
              <v:fill on="f" focussize="0,0"/>
              <v:stroke on="f"/>
              <v:imagedata o:title=""/>
              <o:lock v:ext="edit" aspectratio="f"/>
              <v:textbox inset="0mm,0mm,0mm,0mm">
                <w:txbxContent>
                  <w:p w14:paraId="043237FC">
                    <w:pPr>
                      <w:rPr>
                        <w:rFonts w:cs="Arial"/>
                        <w:color w:val="0D0D0D"/>
                        <w:sz w:val="20"/>
                        <w:szCs w:val="20"/>
                      </w:rPr>
                    </w:pPr>
                    <w:r>
                      <w:drawing>
                        <wp:inline distT="0" distB="0" distL="0" distR="0">
                          <wp:extent cx="2533650" cy="516255"/>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a:picLocks noChangeAspect="1"/>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v:shape>
          </w:pict>
        </mc:Fallback>
      </mc:AlternateContent>
    </w:r>
    <w:r>
      <w:rPr>
        <w:lang w:val="es"/>
      </w:rPr>
      <mc:AlternateContent>
        <mc:Choice Requires="wps">
          <w:drawing>
            <wp:anchor distT="0" distB="0" distL="114300" distR="114300" simplePos="0" relativeHeight="251663360" behindDoc="0" locked="0" layoutInCell="1" allowOverlap="1">
              <wp:simplePos x="0" y="0"/>
              <wp:positionH relativeFrom="page">
                <wp:posOffset>50800</wp:posOffset>
              </wp:positionH>
              <wp:positionV relativeFrom="page">
                <wp:posOffset>260350</wp:posOffset>
              </wp:positionV>
              <wp:extent cx="5470525" cy="535305"/>
              <wp:effectExtent l="0" t="0" r="15875" b="17145"/>
              <wp:wrapTight wrapText="bothSides">
                <wp:wrapPolygon>
                  <wp:start x="0" y="0"/>
                  <wp:lineTo x="0" y="21523"/>
                  <wp:lineTo x="21587" y="21523"/>
                  <wp:lineTo x="21587" y="0"/>
                  <wp:lineTo x="0" y="0"/>
                </wp:wrapPolygon>
              </wp:wrapTight>
              <wp:docPr id="2" name="Text Box 4"/>
              <wp:cNvGraphicFramePr/>
              <a:graphic xmlns:a="http://schemas.openxmlformats.org/drawingml/2006/main">
                <a:graphicData uri="http://schemas.microsoft.com/office/word/2010/wordprocessingShape">
                  <wps:wsp>
                    <wps:cNvSpPr txBox="1"/>
                    <wps:spPr bwMode="auto">
                      <a:xfrm>
                        <a:off x="0" y="0"/>
                        <a:ext cx="5470525" cy="535305"/>
                      </a:xfrm>
                      <a:prstGeom prst="rect">
                        <a:avLst/>
                      </a:prstGeom>
                      <a:noFill/>
                      <a:ln>
                        <a:noFill/>
                      </a:ln>
                    </wps:spPr>
                    <wps:txbx>
                      <w:txbxContent>
                        <w:p w14:paraId="2872B467">
                          <w:pPr>
                            <w:rPr>
                              <w:b/>
                              <w:bCs/>
                              <w:sz w:val="22"/>
                              <w:szCs w:val="20"/>
                            </w:rPr>
                          </w:pPr>
                          <w:r>
                            <w:rPr>
                              <w:b/>
                              <w:bCs/>
                              <w:sz w:val="22"/>
                              <w:szCs w:val="20"/>
                            </w:rPr>
                            <w:t xml:space="preserve">Formulario para la presentación de una buena práctica al Encuentro Estatal de Plena inclusión 2025  </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4pt;margin-top:20.5pt;height:42.15pt;width:430.75pt;mso-position-horizontal-relative:page;mso-position-vertical-relative:page;mso-wrap-distance-left:9pt;mso-wrap-distance-right:9pt;z-index:251663360;mso-width-relative:page;mso-height-relative:page;" filled="f" stroked="f" coordsize="21600,21600" wrapcoords="0 0 0 21523 21587 21523 21587 0 0 0" o:gfxdata="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RpVQeNgAAAAI&#10;AQAADwAAAAAAAAABACAAAAAiAAAAZHJzL2Rvd25yZXYueG1sUEsBAhQAFAAAAAgAh07iQCARC+Xj&#10;AQAA1AMAAA4AAAAAAAAAAQAgAAAAJwEAAGRycy9lMm9Eb2MueG1sUEsFBgAAAAAGAAYAWQEAAHwF&#10;AAAAAA==&#10;">
              <v:fill on="f" focussize="0,0"/>
              <v:stroke on="f"/>
              <v:imagedata o:title=""/>
              <o:lock v:ext="edit" aspectratio="f"/>
              <v:textbox inset="0mm,0mm,0mm,0mm">
                <w:txbxContent>
                  <w:p w14:paraId="2872B467">
                    <w:pPr>
                      <w:rPr>
                        <w:b/>
                        <w:bCs/>
                        <w:sz w:val="22"/>
                        <w:szCs w:val="20"/>
                      </w:rPr>
                    </w:pPr>
                    <w:r>
                      <w:rPr>
                        <w:b/>
                        <w:bCs/>
                        <w:sz w:val="22"/>
                        <w:szCs w:val="20"/>
                      </w:rPr>
                      <w:t xml:space="preserve">Formulario para la presentación de una buena práctica al Encuentro Estatal de Plena inclusión 2025  </w:t>
                    </w:r>
                  </w:p>
                </w:txbxContent>
              </v:textbox>
              <w10:wrap type="tight"/>
            </v:shape>
          </w:pict>
        </mc:Fallback>
      </mc:AlternateContent>
    </w:r>
    <w:r>
      <w:rPr>
        <w:lang w:val="es"/>
      </w:rPr>
      <mc:AlternateContent>
        <mc:Choice Requires="wps">
          <w:drawing>
            <wp:anchor distT="0" distB="0" distL="114300" distR="114300" simplePos="0" relativeHeight="251659264" behindDoc="0" locked="0" layoutInCell="1" allowOverlap="1">
              <wp:simplePos x="0" y="0"/>
              <wp:positionH relativeFrom="column">
                <wp:posOffset>-720090</wp:posOffset>
              </wp:positionH>
              <wp:positionV relativeFrom="paragraph">
                <wp:posOffset>8890</wp:posOffset>
              </wp:positionV>
              <wp:extent cx="7611745" cy="1172845"/>
              <wp:effectExtent l="0" t="0" r="0" b="0"/>
              <wp:wrapNone/>
              <wp:docPr id="15" name="Rectángulo 15" descr="Logotipo Plena inclusión blanco" title="Logotipo Plena inclusión blanco"/>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alt="Logotipo Plena inclusión blanco" style="position:absolute;left:0pt;margin-left:-56.7pt;margin-top:0.7pt;height:92.35pt;width:599.35pt;z-index:251659264;v-text-anchor:middle;mso-width-relative:page;mso-height-relative:page;" fillcolor="#81C063" filled="t" stroked="f" coordsize="21600,21600" o:gfxdata="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7q1/ndgAAAAL&#10;AQAADwAAAAAAAAABACAAAAAiAAAAZHJzL2Rvd25yZXYueG1sUEsBAhQAFAAAAAgAh07iQFrxkvCO&#10;AgAAJQUAAA4AAAAAAAAAAQAgAAAAJwEAAGRycy9lMm9Eb2MueG1sUEsFBgAAAAAGAAYAWQEAACcG&#10;AAAAAA==&#10;">
              <v:fill on="t" focussize="0,0"/>
              <v:stroke on="f" weight="1pt" miterlimit="8" joinstyle="miter"/>
              <v:imagedata o:title=""/>
              <o:lock v:ext="edit" aspectratio="f"/>
            </v:rect>
          </w:pict>
        </mc:Fallback>
      </mc:AlternateContent>
    </w:r>
    <w:r>
      <w:rPr>
        <w:lang w:val="es"/>
      </w:rPr>
      <mc:AlternateContent>
        <mc:Choice Requires="wps">
          <w:drawing>
            <wp:anchor distT="0" distB="0" distL="114300" distR="114300" simplePos="0" relativeHeight="251664384" behindDoc="0" locked="0" layoutInCell="1" allowOverlap="1">
              <wp:simplePos x="0" y="0"/>
              <wp:positionH relativeFrom="page">
                <wp:posOffset>5688965</wp:posOffset>
              </wp:positionH>
              <wp:positionV relativeFrom="page">
                <wp:posOffset>405130</wp:posOffset>
              </wp:positionV>
              <wp:extent cx="1699260" cy="535305"/>
              <wp:effectExtent l="0" t="0" r="0" b="0"/>
              <wp:wrapTight wrapText="bothSides">
                <wp:wrapPolygon>
                  <wp:start x="0" y="0"/>
                  <wp:lineTo x="0" y="21523"/>
                  <wp:lineTo x="21479" y="21523"/>
                  <wp:lineTo x="21479" y="0"/>
                  <wp:lineTo x="0" y="0"/>
                </wp:wrapPolygon>
              </wp:wrapTight>
              <wp:docPr id="5" name="Text Box 4"/>
              <wp:cNvGraphicFramePr/>
              <a:graphic xmlns:a="http://schemas.openxmlformats.org/drawingml/2006/main">
                <a:graphicData uri="http://schemas.microsoft.com/office/word/2010/wordprocessingShape">
                  <wps:wsp>
                    <wps:cNvSpPr txBox="1"/>
                    <wps:spPr bwMode="auto">
                      <a:xfrm>
                        <a:off x="0" y="0"/>
                        <a:ext cx="1698971" cy="535305"/>
                      </a:xfrm>
                      <a:prstGeom prst="rect">
                        <a:avLst/>
                      </a:prstGeom>
                      <a:noFill/>
                      <a:ln>
                        <a:noFill/>
                      </a:ln>
                    </wps:spPr>
                    <wps:txbx>
                      <w:txbxContent>
                        <w:p w14:paraId="4F441E65">
                          <w:r>
                            <w:rPr>
                              <w:color w:val="FFFFFF"/>
                              <w:lang w:val="es"/>
                            </w:rPr>
                            <w:drawing>
                              <wp:inline distT="0" distB="0" distL="0" distR="0">
                                <wp:extent cx="1123315" cy="387350"/>
                                <wp:effectExtent l="0" t="0" r="0" b="0"/>
                                <wp:docPr id="10" name="Imagen 28" descr="Logo Plena Inclusión blanco " title="Logo Plena Inclusión blanco "/>
                                <wp:cNvGraphicFramePr/>
                                <a:graphic xmlns:a="http://schemas.openxmlformats.org/drawingml/2006/main">
                                  <a:graphicData uri="http://schemas.openxmlformats.org/drawingml/2006/picture">
                                    <pic:pic xmlns:pic="http://schemas.openxmlformats.org/drawingml/2006/picture">
                                      <pic:nvPicPr>
                                        <pic:cNvPr id="10" name="Imagen 28" descr="Logo Plena Inclusión blanco " title="Logo Plena Inclusión blanco "/>
                                        <pic:cNvPicPr/>
                                      </pic:nvPicPr>
                                      <pic:blipFill>
                                        <a:blip r:embed="rId2">
                                          <a:extLst>
                                            <a:ext uri="{28A0092B-C50C-407E-A947-70E740481C1C}">
                                              <a14:useLocalDpi xmlns:a14="http://schemas.microsoft.com/office/drawing/2010/main" val="0"/>
                                            </a:ext>
                                          </a:extLst>
                                        </a:blip>
                                        <a:srcRect/>
                                        <a:stretch>
                                          <a:fillRect/>
                                        </a:stretch>
                                      </pic:blipFill>
                                      <pic:spPr>
                                        <a:xfrm>
                                          <a:off x="0" y="0"/>
                                          <a:ext cx="1123333" cy="387927"/>
                                        </a:xfrm>
                                        <a:prstGeom prst="rect">
                                          <a:avLst/>
                                        </a:prstGeom>
                                        <a:noFill/>
                                        <a:ln>
                                          <a:noFill/>
                                        </a:ln>
                                      </pic:spPr>
                                    </pic:pic>
                                  </a:graphicData>
                                </a:graphic>
                              </wp:inline>
                            </w:drawing>
                          </w:r>
                        </w:p>
                        <w:p w14:paraId="034EF99D"/>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447.95pt;margin-top:31.9pt;height:42.15pt;width:133.8pt;mso-position-horizontal-relative:page;mso-position-vertical-relative:page;mso-wrap-distance-left:9pt;mso-wrap-distance-right:9pt;z-index:251664384;mso-width-relative:page;mso-height-relative:page;" filled="f" stroked="f" coordsize="21600,21600" wrapcoords="0 0 0 21523 21479 21523 21479 0 0 0" o:gfxdata="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PISIV2gAA&#10;AAsBAAAPAAAAAAAAAAEAIAAAACIAAABkcnMvZG93bnJldi54bWxQSwECFAAUAAAACACHTuJA+Xlh&#10;LeMBAADUAwAADgAAAAAAAAABACAAAAApAQAAZHJzL2Uyb0RvYy54bWxQSwUGAAAAAAYABgBZAQAA&#10;fgUAAAAA&#10;">
              <v:fill on="f" focussize="0,0"/>
              <v:stroke on="f"/>
              <v:imagedata o:title=""/>
              <o:lock v:ext="edit" aspectratio="f"/>
              <v:textbox inset="0mm,0mm,0mm,0mm">
                <w:txbxContent>
                  <w:p w14:paraId="4F441E65">
                    <w:r>
                      <w:rPr>
                        <w:color w:val="FFFFFF"/>
                        <w:lang w:val="es"/>
                      </w:rPr>
                      <w:drawing>
                        <wp:inline distT="0" distB="0" distL="0" distR="0">
                          <wp:extent cx="1123315" cy="387350"/>
                          <wp:effectExtent l="0" t="0" r="0" b="0"/>
                          <wp:docPr id="10" name="Imagen 28" descr="Logo Plena Inclusión blanco " title="Logo Plena Inclusión blanco "/>
                          <wp:cNvGraphicFramePr/>
                          <a:graphic xmlns:a="http://schemas.openxmlformats.org/drawingml/2006/main">
                            <a:graphicData uri="http://schemas.openxmlformats.org/drawingml/2006/picture">
                              <pic:pic xmlns:pic="http://schemas.openxmlformats.org/drawingml/2006/picture">
                                <pic:nvPicPr>
                                  <pic:cNvPr id="10" name="Imagen 28" descr="Logo Plena Inclusión blanco " title="Logo Plena Inclusión blanco "/>
                                  <pic:cNvPicPr/>
                                </pic:nvPicPr>
                                <pic:blipFill>
                                  <a:blip r:embed="rId2">
                                    <a:extLst>
                                      <a:ext uri="{28A0092B-C50C-407E-A947-70E740481C1C}">
                                        <a14:useLocalDpi xmlns:a14="http://schemas.microsoft.com/office/drawing/2010/main" val="0"/>
                                      </a:ext>
                                    </a:extLst>
                                  </a:blip>
                                  <a:srcRect/>
                                  <a:stretch>
                                    <a:fillRect/>
                                  </a:stretch>
                                </pic:blipFill>
                                <pic:spPr>
                                  <a:xfrm>
                                    <a:off x="0" y="0"/>
                                    <a:ext cx="1123333" cy="387927"/>
                                  </a:xfrm>
                                  <a:prstGeom prst="rect">
                                    <a:avLst/>
                                  </a:prstGeom>
                                  <a:noFill/>
                                  <a:ln>
                                    <a:noFill/>
                                  </a:ln>
                                </pic:spPr>
                              </pic:pic>
                            </a:graphicData>
                          </a:graphic>
                        </wp:inline>
                      </w:drawing>
                    </w:r>
                  </w:p>
                  <w:p w14:paraId="034EF99D"/>
                </w:txbxContent>
              </v:textbox>
              <w10:wrap type="tight"/>
            </v:shape>
          </w:pict>
        </mc:Fallback>
      </mc:AlternateContent>
    </w:r>
    <w:r>
      <w:rPr>
        <w:lang w:val="es"/>
      </w:rPr>
      <mc:AlternateContent>
        <mc:Choice Requires="wps">
          <w:drawing>
            <wp:anchor distT="0" distB="0" distL="114300" distR="114300" simplePos="0" relativeHeight="251662336" behindDoc="0" locked="0" layoutInCell="1" allowOverlap="1">
              <wp:simplePos x="0" y="0"/>
              <wp:positionH relativeFrom="page">
                <wp:posOffset>6116955</wp:posOffset>
              </wp:positionH>
              <wp:positionV relativeFrom="page">
                <wp:posOffset>297815</wp:posOffset>
              </wp:positionV>
              <wp:extent cx="960755" cy="274955"/>
              <wp:effectExtent l="0" t="0" r="0" b="0"/>
              <wp:wrapTight wrapText="bothSides">
                <wp:wrapPolygon>
                  <wp:start x="0" y="0"/>
                  <wp:lineTo x="0" y="20952"/>
                  <wp:lineTo x="21414" y="20952"/>
                  <wp:lineTo x="21414" y="0"/>
                  <wp:lineTo x="0" y="0"/>
                </wp:wrapPolygon>
              </wp:wrapTight>
              <wp:docPr id="21" name="Text Box 4"/>
              <wp:cNvGraphicFramePr/>
              <a:graphic xmlns:a="http://schemas.openxmlformats.org/drawingml/2006/main">
                <a:graphicData uri="http://schemas.microsoft.com/office/word/2010/wordprocessingShape">
                  <wps:wsp>
                    <wps:cNvSpPr txBox="1"/>
                    <wps:spPr bwMode="auto">
                      <a:xfrm>
                        <a:off x="0" y="0"/>
                        <a:ext cx="960755" cy="274955"/>
                      </a:xfrm>
                      <a:prstGeom prst="rect">
                        <a:avLst/>
                      </a:prstGeom>
                      <a:noFill/>
                      <a:ln>
                        <a:noFill/>
                      </a:ln>
                    </wps:spPr>
                    <wps:txbx>
                      <w:txbxContent>
                        <w:p w14:paraId="62D531B1">
                          <w:pPr>
                            <w:jc w:val="right"/>
                            <w:rPr>
                              <w:b/>
                              <w:bCs/>
                              <w:color w:val="FFFFFF"/>
                              <w:szCs w:val="28"/>
                            </w:rPr>
                          </w:pP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481.65pt;margin-top:23.45pt;height:21.65pt;width:75.65pt;mso-position-horizontal-relative:page;mso-position-vertical-relative:page;mso-wrap-distance-left:9pt;mso-wrap-distance-right:9pt;z-index:251662336;mso-width-relative:page;mso-height-relative:page;" filled="f" stroked="f" coordsize="21600,21600" wrapcoords="0 0 0 20952 21414 20952 21414 0 0 0" o:gfxdata="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L46OdgAAAAK&#10;AQAADwAAAAAAAAABACAAAAAiAAAAZHJzL2Rvd25yZXYueG1sUEsBAhQAFAAAAAgAh07iQIPfVC/j&#10;AQAA1AMAAA4AAAAAAAAAAQAgAAAAJwEAAGRycy9lMm9Eb2MueG1sUEsFBgAAAAAGAAYAWQEAAHwF&#10;AAAAAA==&#10;">
              <v:fill on="f" focussize="0,0"/>
              <v:stroke on="f"/>
              <v:imagedata o:title=""/>
              <o:lock v:ext="edit" aspectratio="f"/>
              <v:textbox inset="0mm,0mm,0mm,0mm">
                <w:txbxContent>
                  <w:p w14:paraId="62D531B1">
                    <w:pPr>
                      <w:jc w:val="right"/>
                      <w:rPr>
                        <w:b/>
                        <w:bCs/>
                        <w:color w:val="FFFFFF"/>
                        <w:szCs w:val="28"/>
                      </w:rPr>
                    </w:pPr>
                  </w:p>
                </w:txbxContent>
              </v:textbox>
              <w10:wrap type="tigh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7"/>
      <w:lvlText w:val="%1."/>
      <w:lvlJc w:val="left"/>
      <w:pPr>
        <w:tabs>
          <w:tab w:val="left" w:pos="643"/>
        </w:tabs>
        <w:ind w:left="643" w:hanging="360"/>
      </w:pPr>
    </w:lvl>
  </w:abstractNum>
  <w:abstractNum w:abstractNumId="1">
    <w:nsid w:val="08EC6C1E"/>
    <w:multiLevelType w:val="multilevel"/>
    <w:tmpl w:val="08EC6C1E"/>
    <w:lvl w:ilvl="0" w:tentative="0">
      <w:start w:val="1"/>
      <w:numFmt w:val="bullet"/>
      <w:pStyle w:val="21"/>
      <w:lvlText w:val=""/>
      <w:lvlJc w:val="left"/>
      <w:pPr>
        <w:ind w:left="720" w:hanging="360"/>
      </w:pPr>
      <w:rPr>
        <w:rFonts w:hint="default" w:ascii="Symbol" w:hAnsi="Symbol"/>
        <w:color w:val="81C063"/>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
    <w:nsid w:val="0E41703B"/>
    <w:multiLevelType w:val="multilevel"/>
    <w:tmpl w:val="0E41703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2FF45FB"/>
    <w:multiLevelType w:val="multilevel"/>
    <w:tmpl w:val="12FF45F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29268A8"/>
    <w:multiLevelType w:val="multilevel"/>
    <w:tmpl w:val="229268A8"/>
    <w:lvl w:ilvl="0" w:tentative="0">
      <w:start w:val="1"/>
      <w:numFmt w:val="decimal"/>
      <w:pStyle w:val="49"/>
      <w:lvlText w:val="%1."/>
      <w:lvlJc w:val="left"/>
      <w:pPr>
        <w:ind w:left="720" w:hanging="360"/>
      </w:pPr>
      <w:rPr>
        <w:rFonts w:hint="default"/>
        <w:color w:val="81C063"/>
      </w:rPr>
    </w:lvl>
    <w:lvl w:ilvl="1" w:tentative="0">
      <w:start w:val="1"/>
      <w:numFmt w:val="decimal"/>
      <w:lvlText w:val="%1.%2."/>
      <w:lvlJc w:val="left"/>
      <w:pPr>
        <w:ind w:left="1152" w:hanging="432"/>
      </w:pPr>
      <w:rPr>
        <w:rFonts w:hint="default"/>
      </w:rPr>
    </w:lvl>
    <w:lvl w:ilvl="2" w:tentative="0">
      <w:start w:val="1"/>
      <w:numFmt w:val="decimal"/>
      <w:lvlText w:val="%1.%2.%3."/>
      <w:lvlJc w:val="left"/>
      <w:pPr>
        <w:ind w:left="1584" w:hanging="504"/>
      </w:pPr>
      <w:rPr>
        <w:rFonts w:hint="default"/>
      </w:rPr>
    </w:lvl>
    <w:lvl w:ilvl="3" w:tentative="0">
      <w:start w:val="1"/>
      <w:numFmt w:val="decimal"/>
      <w:lvlText w:val="%1.%2.%3.%4."/>
      <w:lvlJc w:val="left"/>
      <w:pPr>
        <w:ind w:left="2088" w:hanging="648"/>
      </w:pPr>
      <w:rPr>
        <w:rFonts w:hint="default"/>
      </w:rPr>
    </w:lvl>
    <w:lvl w:ilvl="4" w:tentative="0">
      <w:start w:val="1"/>
      <w:numFmt w:val="decimal"/>
      <w:lvlText w:val="%1.%2.%3.%4.%5."/>
      <w:lvlJc w:val="left"/>
      <w:pPr>
        <w:ind w:left="2592" w:hanging="792"/>
      </w:pPr>
      <w:rPr>
        <w:rFonts w:hint="default"/>
      </w:rPr>
    </w:lvl>
    <w:lvl w:ilvl="5" w:tentative="0">
      <w:start w:val="1"/>
      <w:numFmt w:val="decimal"/>
      <w:lvlText w:val="%1.%2.%3.%4.%5.%6."/>
      <w:lvlJc w:val="left"/>
      <w:pPr>
        <w:ind w:left="3096" w:hanging="936"/>
      </w:pPr>
      <w:rPr>
        <w:rFonts w:hint="default"/>
      </w:rPr>
    </w:lvl>
    <w:lvl w:ilvl="6" w:tentative="0">
      <w:start w:val="1"/>
      <w:numFmt w:val="decimal"/>
      <w:lvlText w:val="%1.%2.%3.%4.%5.%6.%7."/>
      <w:lvlJc w:val="left"/>
      <w:pPr>
        <w:ind w:left="3600" w:hanging="1080"/>
      </w:pPr>
      <w:rPr>
        <w:rFonts w:hint="default"/>
      </w:rPr>
    </w:lvl>
    <w:lvl w:ilvl="7" w:tentative="0">
      <w:start w:val="1"/>
      <w:numFmt w:val="decimal"/>
      <w:lvlText w:val="%1.%2.%3.%4.%5.%6.%7.%8."/>
      <w:lvlJc w:val="left"/>
      <w:pPr>
        <w:ind w:left="4104" w:hanging="1224"/>
      </w:pPr>
      <w:rPr>
        <w:rFonts w:hint="default"/>
      </w:rPr>
    </w:lvl>
    <w:lvl w:ilvl="8" w:tentative="0">
      <w:start w:val="1"/>
      <w:numFmt w:val="decimal"/>
      <w:lvlText w:val="%1.%2.%3.%4.%5.%6.%7.%8.%9."/>
      <w:lvlJc w:val="left"/>
      <w:pPr>
        <w:ind w:left="4680" w:hanging="1440"/>
      </w:pPr>
      <w:rPr>
        <w:rFonts w:hint="default"/>
      </w:rPr>
    </w:lvl>
  </w:abstractNum>
  <w:abstractNum w:abstractNumId="5">
    <w:nsid w:val="250EFAF6"/>
    <w:multiLevelType w:val="multilevel"/>
    <w:tmpl w:val="250EFAF6"/>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28B34595"/>
    <w:multiLevelType w:val="multilevel"/>
    <w:tmpl w:val="28B34595"/>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28C231CD"/>
    <w:multiLevelType w:val="multilevel"/>
    <w:tmpl w:val="28C231CD"/>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3262D68D"/>
    <w:multiLevelType w:val="multilevel"/>
    <w:tmpl w:val="3262D68D"/>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9">
    <w:nsid w:val="44233EF0"/>
    <w:multiLevelType w:val="multilevel"/>
    <w:tmpl w:val="44233EF0"/>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0">
    <w:nsid w:val="54F99EBA"/>
    <w:multiLevelType w:val="multilevel"/>
    <w:tmpl w:val="54F99EB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8A844E6"/>
    <w:multiLevelType w:val="multilevel"/>
    <w:tmpl w:val="58A844E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7AF7166F"/>
    <w:multiLevelType w:val="multilevel"/>
    <w:tmpl w:val="7AF7166F"/>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
    <w:nsid w:val="7B0FF0EE"/>
    <w:multiLevelType w:val="multilevel"/>
    <w:tmpl w:val="7B0FF0EE"/>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7EC90B02"/>
    <w:multiLevelType w:val="multilevel"/>
    <w:tmpl w:val="7EC90B02"/>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4"/>
  </w:num>
  <w:num w:numId="4">
    <w:abstractNumId w:val="10"/>
  </w:num>
  <w:num w:numId="5">
    <w:abstractNumId w:val="3"/>
  </w:num>
  <w:num w:numId="6">
    <w:abstractNumId w:val="2"/>
  </w:num>
  <w:num w:numId="7">
    <w:abstractNumId w:val="9"/>
  </w:num>
  <w:num w:numId="8">
    <w:abstractNumId w:val="13"/>
  </w:num>
  <w:num w:numId="9">
    <w:abstractNumId w:val="7"/>
  </w:num>
  <w:num w:numId="10">
    <w:abstractNumId w:val="14"/>
  </w:num>
  <w:num w:numId="11">
    <w:abstractNumId w:val="5"/>
  </w:num>
  <w:num w:numId="12">
    <w:abstractNumId w:val="6"/>
  </w:num>
  <w:num w:numId="13">
    <w:abstractNumId w:val="8"/>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nforcement="0"/>
  <w:defaultTabStop w:val="709"/>
  <w:hyphenationZone w:val="425"/>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strictFirstAndLastChars w:val="1"/>
  <w:footnotePr>
    <w:footnote w:id="0"/>
    <w:footnote w:id="1"/>
  </w:footnotePr>
  <w:endnotePr>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3257"/>
    <w:rsid w:val="0015138B"/>
    <w:rsid w:val="00157361"/>
    <w:rsid w:val="0018401A"/>
    <w:rsid w:val="001A0BB5"/>
    <w:rsid w:val="001C048B"/>
    <w:rsid w:val="001E4CE7"/>
    <w:rsid w:val="00213DB6"/>
    <w:rsid w:val="00257DC5"/>
    <w:rsid w:val="00265169"/>
    <w:rsid w:val="002C2B6A"/>
    <w:rsid w:val="002C6FE2"/>
    <w:rsid w:val="002D3264"/>
    <w:rsid w:val="002E10F7"/>
    <w:rsid w:val="002E39FA"/>
    <w:rsid w:val="003119AE"/>
    <w:rsid w:val="003413A6"/>
    <w:rsid w:val="0036444E"/>
    <w:rsid w:val="00380659"/>
    <w:rsid w:val="003B442E"/>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7E5A"/>
    <w:rsid w:val="009037B6"/>
    <w:rsid w:val="00917F99"/>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 w:val="4DB91A5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nhideWhenUsed="0" w:uiPriority="0" w:semiHidden="0" w:name="footer"/>
    <w:lsdException w:uiPriority="99" w:name="index heading"/>
    <w:lsdException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uiPriority="99" w:name="List Bullet 2"/>
    <w:lsdException w:uiPriority="99" w:name="List Bullet 3"/>
    <w:lsdException w:uiPriority="99" w:name="List Bullet 4"/>
    <w:lsdException w:uiPriority="99" w:name="List Bullet 5"/>
    <w:lsdException w:qFormat="1" w:uiPriority="99" w:semiHidden="0"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1" w:semiHidden="0" w:name="No Spacing"/>
    <w:lsdException w:qFormat="1" w:unhideWhenUsed="0" w:uiPriority="34" w:semiHidden="0" w:name="List Paragraph"/>
    <w:lsdException w:qFormat="1" w:unhideWhenUsed="0" w:uiPriority="29" w:semiHidden="0" w:name="Quote"/>
  </w:latentStyles>
  <w:style w:type="paragraph" w:default="1" w:styleId="1">
    <w:name w:val="Normal"/>
    <w:qFormat/>
    <w:uiPriority w:val="0"/>
    <w:pPr>
      <w:suppressAutoHyphens/>
      <w:spacing w:line="360" w:lineRule="auto"/>
    </w:pPr>
    <w:rPr>
      <w:rFonts w:ascii="Verdana" w:hAnsi="Verdana" w:eastAsia="Noto Sans CJK SC Regular" w:cs="FreeSans"/>
      <w:kern w:val="1"/>
      <w:sz w:val="28"/>
      <w:szCs w:val="24"/>
      <w:lang w:val="es-ES" w:eastAsia="zh-CN" w:bidi="ar-SA"/>
    </w:rPr>
  </w:style>
  <w:style w:type="paragraph" w:styleId="2">
    <w:name w:val="heading 1"/>
    <w:basedOn w:val="1"/>
    <w:next w:val="1"/>
    <w:link w:val="38"/>
    <w:qFormat/>
    <w:uiPriority w:val="9"/>
    <w:pPr>
      <w:keepNext/>
      <w:pBdr>
        <w:left w:val="single" w:color="81C063" w:sz="36" w:space="0"/>
      </w:pBdr>
      <w:shd w:val="clear" w:color="auto" w:fill="F1F1F1" w:themeFill="background1" w:themeFillShade="F2"/>
      <w:spacing w:before="240" w:after="240" w:line="240" w:lineRule="auto"/>
      <w:outlineLvl w:val="0"/>
    </w:pPr>
    <w:rPr>
      <w:rFonts w:eastAsia="Times New Roman" w:cs="Mangal"/>
      <w:b/>
      <w:bCs/>
      <w:color w:val="000000"/>
      <w:kern w:val="32"/>
      <w:sz w:val="36"/>
      <w:szCs w:val="29"/>
    </w:rPr>
  </w:style>
  <w:style w:type="paragraph" w:styleId="3">
    <w:name w:val="heading 2"/>
    <w:basedOn w:val="1"/>
    <w:next w:val="1"/>
    <w:link w:val="43"/>
    <w:unhideWhenUsed/>
    <w:qFormat/>
    <w:uiPriority w:val="9"/>
    <w:pPr>
      <w:keepNext/>
      <w:pBdr>
        <w:left w:val="single" w:color="81C063" w:sz="18" w:space="0"/>
      </w:pBdr>
      <w:shd w:val="clear" w:color="auto" w:fill="FFFFFF"/>
      <w:spacing w:before="240" w:after="60" w:line="240" w:lineRule="auto"/>
      <w:outlineLvl w:val="1"/>
    </w:pPr>
    <w:rPr>
      <w:rFonts w:eastAsia="Times New Roman" w:cs="Mangal"/>
      <w:b/>
      <w:bCs/>
      <w:iCs/>
      <w:sz w:val="32"/>
      <w:szCs w:val="25"/>
    </w:rPr>
  </w:style>
  <w:style w:type="paragraph" w:styleId="4">
    <w:name w:val="heading 3"/>
    <w:basedOn w:val="1"/>
    <w:next w:val="1"/>
    <w:link w:val="44"/>
    <w:unhideWhenUsed/>
    <w:qFormat/>
    <w:uiPriority w:val="9"/>
    <w:pPr>
      <w:keepNext/>
      <w:pBdr>
        <w:left w:val="single" w:color="BEBEBE" w:themeColor="background1" w:themeShade="BF" w:sz="6" w:space="5"/>
      </w:pBdr>
      <w:shd w:val="clear" w:color="auto" w:fill="FFFFFF" w:themeFill="background1"/>
      <w:spacing w:before="240" w:after="60" w:line="240" w:lineRule="auto"/>
      <w:outlineLvl w:val="2"/>
    </w:pPr>
    <w:rPr>
      <w:rFonts w:eastAsia="Times New Roman" w:cs="Mangal"/>
      <w:b/>
      <w:bCs/>
      <w:color w:val="000000"/>
      <w:szCs w:val="23"/>
    </w:rPr>
  </w:style>
  <w:style w:type="paragraph" w:styleId="5">
    <w:name w:val="heading 4"/>
    <w:basedOn w:val="1"/>
    <w:next w:val="1"/>
    <w:link w:val="31"/>
    <w:unhideWhenUsed/>
    <w:qFormat/>
    <w:uiPriority w:val="9"/>
    <w:pPr>
      <w:keepNext/>
      <w:spacing w:before="240" w:after="60"/>
      <w:outlineLvl w:val="3"/>
    </w:pPr>
    <w:rPr>
      <w:rFonts w:ascii="Calibri" w:hAnsi="Calibri" w:eastAsia="Times New Roman" w:cs="Mangal"/>
      <w:b/>
      <w:bCs/>
      <w:szCs w:val="25"/>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uiPriority w:val="20"/>
    <w:rPr>
      <w:i/>
      <w:iCs/>
    </w:rPr>
  </w:style>
  <w:style w:type="character" w:styleId="9">
    <w:name w:val="Hyperlink"/>
    <w:unhideWhenUsed/>
    <w:uiPriority w:val="99"/>
    <w:rPr>
      <w:rFonts w:ascii="Verdana" w:hAnsi="Verdana"/>
      <w:color w:val="5EB345"/>
      <w:u w:val="single"/>
    </w:rPr>
  </w:style>
  <w:style w:type="character" w:styleId="10">
    <w:name w:val="FollowedHyperlink"/>
    <w:semiHidden/>
    <w:unhideWhenUsed/>
    <w:qFormat/>
    <w:uiPriority w:val="99"/>
    <w:rPr>
      <w:rFonts w:ascii="Verdana" w:hAnsi="Verdana"/>
      <w:color w:val="5EB345"/>
      <w:u w:val="single"/>
    </w:rPr>
  </w:style>
  <w:style w:type="character" w:styleId="11">
    <w:name w:val="Strong"/>
    <w:qFormat/>
    <w:uiPriority w:val="22"/>
    <w:rPr>
      <w:b/>
      <w:bCs/>
    </w:rPr>
  </w:style>
  <w:style w:type="paragraph" w:styleId="12">
    <w:name w:val="toc 3"/>
    <w:basedOn w:val="1"/>
    <w:next w:val="1"/>
    <w:autoRedefine/>
    <w:unhideWhenUsed/>
    <w:qFormat/>
    <w:uiPriority w:val="39"/>
    <w:pPr>
      <w:ind w:left="560"/>
    </w:pPr>
    <w:rPr>
      <w:rFonts w:cs="Mangal"/>
    </w:rPr>
  </w:style>
  <w:style w:type="paragraph" w:styleId="13">
    <w:name w:val="toc 1"/>
    <w:basedOn w:val="1"/>
    <w:next w:val="1"/>
    <w:autoRedefine/>
    <w:unhideWhenUsed/>
    <w:uiPriority w:val="39"/>
    <w:pPr>
      <w:tabs>
        <w:tab w:val="right" w:leader="dot" w:pos="9628"/>
      </w:tabs>
    </w:pPr>
    <w:rPr>
      <w:rFonts w:cs="Mangal"/>
      <w:b/>
      <w:color w:val="000000"/>
      <w:szCs w:val="21"/>
    </w:rPr>
  </w:style>
  <w:style w:type="paragraph" w:styleId="14">
    <w:name w:val="toc 2"/>
    <w:basedOn w:val="1"/>
    <w:next w:val="1"/>
    <w:autoRedefine/>
    <w:unhideWhenUsed/>
    <w:qFormat/>
    <w:uiPriority w:val="39"/>
    <w:pPr>
      <w:ind w:left="240"/>
    </w:pPr>
    <w:rPr>
      <w:rFonts w:cs="Mangal"/>
      <w:szCs w:val="21"/>
    </w:rPr>
  </w:style>
  <w:style w:type="paragraph" w:styleId="15">
    <w:name w:val="Balloon Text"/>
    <w:basedOn w:val="1"/>
    <w:link w:val="54"/>
    <w:semiHidden/>
    <w:unhideWhenUsed/>
    <w:qFormat/>
    <w:uiPriority w:val="99"/>
    <w:pPr>
      <w:spacing w:line="240" w:lineRule="auto"/>
    </w:pPr>
    <w:rPr>
      <w:rFonts w:ascii="Times New Roman" w:hAnsi="Times New Roman" w:cs="Mangal"/>
      <w:sz w:val="18"/>
      <w:szCs w:val="16"/>
    </w:rPr>
  </w:style>
  <w:style w:type="paragraph" w:styleId="16">
    <w:name w:val="List 3"/>
    <w:basedOn w:val="1"/>
    <w:unhideWhenUsed/>
    <w:qFormat/>
    <w:uiPriority w:val="99"/>
    <w:pPr>
      <w:ind w:left="849" w:hanging="283"/>
      <w:contextualSpacing/>
    </w:pPr>
    <w:rPr>
      <w:rFonts w:cs="Mangal"/>
    </w:rPr>
  </w:style>
  <w:style w:type="paragraph" w:styleId="17">
    <w:name w:val="List Number 2"/>
    <w:basedOn w:val="1"/>
    <w:unhideWhenUsed/>
    <w:qFormat/>
    <w:uiPriority w:val="99"/>
    <w:pPr>
      <w:numPr>
        <w:ilvl w:val="0"/>
        <w:numId w:val="1"/>
      </w:numPr>
      <w:contextualSpacing/>
    </w:pPr>
    <w:rPr>
      <w:rFonts w:cs="Mangal"/>
    </w:rPr>
  </w:style>
  <w:style w:type="paragraph" w:styleId="18">
    <w:name w:val="header"/>
    <w:basedOn w:val="1"/>
    <w:link w:val="48"/>
    <w:unhideWhenUsed/>
    <w:qFormat/>
    <w:uiPriority w:val="99"/>
    <w:pPr>
      <w:tabs>
        <w:tab w:val="center" w:pos="4252"/>
        <w:tab w:val="right" w:pos="8504"/>
      </w:tabs>
    </w:pPr>
    <w:rPr>
      <w:rFonts w:cs="Mangal"/>
    </w:rPr>
  </w:style>
  <w:style w:type="paragraph" w:styleId="19">
    <w:name w:val="List 2"/>
    <w:basedOn w:val="1"/>
    <w:unhideWhenUsed/>
    <w:qFormat/>
    <w:uiPriority w:val="99"/>
    <w:pPr>
      <w:ind w:left="566" w:hanging="283"/>
      <w:contextualSpacing/>
    </w:pPr>
    <w:rPr>
      <w:rFonts w:cs="Mangal"/>
    </w:rPr>
  </w:style>
  <w:style w:type="paragraph" w:styleId="20">
    <w:name w:val="List 5"/>
    <w:basedOn w:val="1"/>
    <w:unhideWhenUsed/>
    <w:qFormat/>
    <w:uiPriority w:val="99"/>
    <w:pPr>
      <w:ind w:left="1415" w:hanging="283"/>
      <w:contextualSpacing/>
    </w:pPr>
    <w:rPr>
      <w:rFonts w:cs="Mangal"/>
    </w:rPr>
  </w:style>
  <w:style w:type="paragraph" w:styleId="21">
    <w:name w:val="List"/>
    <w:basedOn w:val="1"/>
    <w:link w:val="58"/>
    <w:qFormat/>
    <w:uiPriority w:val="0"/>
    <w:pPr>
      <w:numPr>
        <w:ilvl w:val="0"/>
        <w:numId w:val="2"/>
      </w:numPr>
      <w:spacing w:after="140" w:line="288" w:lineRule="auto"/>
    </w:pPr>
  </w:style>
  <w:style w:type="paragraph" w:styleId="22">
    <w:name w:val="List 4"/>
    <w:basedOn w:val="1"/>
    <w:unhideWhenUsed/>
    <w:qFormat/>
    <w:uiPriority w:val="99"/>
    <w:pPr>
      <w:ind w:left="1132" w:hanging="283"/>
      <w:contextualSpacing/>
    </w:pPr>
    <w:rPr>
      <w:rFonts w:cs="Mangal"/>
    </w:rPr>
  </w:style>
  <w:style w:type="paragraph" w:styleId="23">
    <w:name w:val="footer"/>
    <w:basedOn w:val="1"/>
    <w:uiPriority w:val="0"/>
    <w:pPr>
      <w:suppressLineNumbers/>
      <w:tabs>
        <w:tab w:val="center" w:pos="4819"/>
        <w:tab w:val="right" w:pos="9638"/>
      </w:tabs>
      <w:jc w:val="right"/>
    </w:pPr>
    <w:rPr>
      <w:b/>
    </w:rPr>
  </w:style>
  <w:style w:type="paragraph" w:styleId="24">
    <w:name w:val="Subtitle"/>
    <w:basedOn w:val="1"/>
    <w:next w:val="1"/>
    <w:link w:val="42"/>
    <w:qFormat/>
    <w:uiPriority w:val="11"/>
    <w:pPr>
      <w:spacing w:after="60"/>
      <w:outlineLvl w:val="1"/>
    </w:pPr>
    <w:rPr>
      <w:rFonts w:eastAsia="Times New Roman" w:cs="Mangal"/>
      <w:b/>
      <w:color w:val="006D3C"/>
      <w:kern w:val="24"/>
      <w:szCs w:val="21"/>
    </w:rPr>
  </w:style>
  <w:style w:type="paragraph" w:styleId="25">
    <w:name w:val="Title"/>
    <w:basedOn w:val="1"/>
    <w:next w:val="1"/>
    <w:link w:val="41"/>
    <w:uiPriority w:val="10"/>
    <w:pPr>
      <w:pBdr>
        <w:left w:val="single" w:color="auto" w:sz="24" w:space="2"/>
      </w:pBdr>
      <w:spacing w:before="240" w:after="60"/>
      <w:outlineLvl w:val="0"/>
    </w:pPr>
    <w:rPr>
      <w:rFonts w:eastAsia="Times New Roman" w:cs="Mangal"/>
      <w:b/>
      <w:bCs/>
      <w:color w:val="006D3C"/>
      <w:kern w:val="28"/>
      <w:sz w:val="32"/>
      <w:szCs w:val="29"/>
    </w:rPr>
  </w:style>
  <w:style w:type="table" w:styleId="26">
    <w:name w:val="Table Grid"/>
    <w:basedOn w:val="7"/>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7">
    <w:name w:val="No Spacing"/>
    <w:uiPriority w:val="1"/>
    <w:pPr>
      <w:suppressAutoHyphens/>
    </w:pPr>
    <w:rPr>
      <w:rFonts w:ascii="Arial" w:hAnsi="Arial" w:eastAsia="Noto Sans CJK SC Regular" w:cs="Mangal"/>
      <w:kern w:val="1"/>
      <w:sz w:val="28"/>
      <w:szCs w:val="24"/>
      <w:lang w:val="es-ES" w:eastAsia="zh-CN" w:bidi="hi-IN"/>
    </w:rPr>
  </w:style>
  <w:style w:type="character" w:customStyle="1" w:styleId="28">
    <w:name w:val="Subtle Emphasis"/>
    <w:uiPriority w:val="19"/>
    <w:rPr>
      <w:i/>
      <w:iCs/>
      <w:color w:val="404040"/>
    </w:rPr>
  </w:style>
  <w:style w:type="paragraph" w:customStyle="1" w:styleId="29">
    <w:name w:val="Epígrafe1"/>
    <w:basedOn w:val="1"/>
    <w:qFormat/>
    <w:uiPriority w:val="0"/>
    <w:pPr>
      <w:suppressLineNumbers/>
      <w:spacing w:before="120" w:after="120"/>
    </w:pPr>
    <w:rPr>
      <w:iCs/>
      <w:sz w:val="24"/>
    </w:rPr>
  </w:style>
  <w:style w:type="paragraph" w:customStyle="1" w:styleId="30">
    <w:name w:val="Índice"/>
    <w:basedOn w:val="1"/>
    <w:qFormat/>
    <w:uiPriority w:val="0"/>
    <w:pPr>
      <w:suppressLineNumbers/>
    </w:pPr>
  </w:style>
  <w:style w:type="character" w:customStyle="1" w:styleId="31">
    <w:name w:val="Título 4 Car"/>
    <w:link w:val="5"/>
    <w:uiPriority w:val="9"/>
    <w:rPr>
      <w:rFonts w:ascii="Calibri" w:hAnsi="Calibri" w:eastAsia="Times New Roman" w:cs="Mangal"/>
      <w:b/>
      <w:bCs/>
      <w:kern w:val="1"/>
      <w:sz w:val="28"/>
      <w:szCs w:val="25"/>
      <w:lang w:eastAsia="zh-CN" w:bidi="hi-IN"/>
    </w:rPr>
  </w:style>
  <w:style w:type="paragraph" w:customStyle="1" w:styleId="32">
    <w:name w:val="Encabezado de la tabla"/>
    <w:basedOn w:val="1"/>
    <w:qFormat/>
    <w:uiPriority w:val="0"/>
    <w:pPr>
      <w:suppressLineNumbers/>
      <w:jc w:val="center"/>
    </w:pPr>
    <w:rPr>
      <w:b/>
      <w:bCs/>
    </w:rPr>
  </w:style>
  <w:style w:type="paragraph" w:customStyle="1" w:styleId="33">
    <w:name w:val="A1"/>
    <w:basedOn w:val="1"/>
    <w:link w:val="35"/>
    <w:autoRedefine/>
    <w:qFormat/>
    <w:uiPriority w:val="0"/>
    <w:pPr>
      <w:spacing w:line="240" w:lineRule="auto"/>
    </w:pPr>
    <w:rPr>
      <w:b/>
      <w:color w:val="000000"/>
      <w:sz w:val="44"/>
    </w:rPr>
  </w:style>
  <w:style w:type="paragraph" w:customStyle="1" w:styleId="34">
    <w:name w:val="A2"/>
    <w:basedOn w:val="1"/>
    <w:link w:val="37"/>
    <w:autoRedefine/>
    <w:qFormat/>
    <w:uiPriority w:val="0"/>
    <w:rPr>
      <w:color w:val="000000"/>
    </w:rPr>
  </w:style>
  <w:style w:type="character" w:customStyle="1" w:styleId="35">
    <w:name w:val="A1 Car"/>
    <w:link w:val="33"/>
    <w:uiPriority w:val="0"/>
    <w:rPr>
      <w:rFonts w:ascii="Verdana" w:hAnsi="Verdana" w:eastAsia="Noto Sans CJK SC Regular" w:cs="FreeSans"/>
      <w:b/>
      <w:color w:val="000000"/>
      <w:kern w:val="1"/>
      <w:sz w:val="44"/>
      <w:szCs w:val="24"/>
      <w:lang w:eastAsia="zh-CN" w:bidi="hi-IN"/>
    </w:rPr>
  </w:style>
  <w:style w:type="paragraph" w:customStyle="1" w:styleId="36">
    <w:name w:val="A3"/>
    <w:basedOn w:val="1"/>
    <w:link w:val="39"/>
    <w:qFormat/>
    <w:uiPriority w:val="0"/>
    <w:pPr>
      <w:spacing w:line="240" w:lineRule="auto"/>
    </w:pPr>
    <w:rPr>
      <w:b/>
      <w:color w:val="006D3C"/>
      <w:sz w:val="32"/>
    </w:rPr>
  </w:style>
  <w:style w:type="character" w:customStyle="1" w:styleId="37">
    <w:name w:val="A2 Car"/>
    <w:link w:val="34"/>
    <w:qFormat/>
    <w:uiPriority w:val="0"/>
    <w:rPr>
      <w:rFonts w:ascii="Verdana" w:hAnsi="Verdana" w:eastAsia="Noto Sans CJK SC Regular" w:cs="FreeSans"/>
      <w:color w:val="000000"/>
      <w:kern w:val="1"/>
      <w:sz w:val="28"/>
      <w:szCs w:val="24"/>
      <w:lang w:eastAsia="zh-CN" w:bidi="hi-IN"/>
    </w:rPr>
  </w:style>
  <w:style w:type="character" w:customStyle="1" w:styleId="38">
    <w:name w:val="Título 1 Car"/>
    <w:link w:val="2"/>
    <w:uiPriority w:val="9"/>
    <w:rPr>
      <w:rFonts w:ascii="Verdana" w:hAnsi="Verdana" w:cs="Mangal"/>
      <w:b/>
      <w:bCs/>
      <w:color w:val="000000"/>
      <w:kern w:val="32"/>
      <w:sz w:val="36"/>
      <w:szCs w:val="29"/>
      <w:shd w:val="clear" w:color="auto" w:fill="F1F1F1" w:themeFill="background1" w:themeFillShade="F2"/>
      <w:lang w:eastAsia="zh-CN" w:bidi="hi-IN"/>
    </w:rPr>
  </w:style>
  <w:style w:type="character" w:customStyle="1" w:styleId="39">
    <w:name w:val="A3 Car"/>
    <w:link w:val="36"/>
    <w:uiPriority w:val="0"/>
    <w:rPr>
      <w:rFonts w:ascii="Verdana" w:hAnsi="Verdana" w:eastAsia="Noto Sans CJK SC Regular" w:cs="FreeSans"/>
      <w:b/>
      <w:color w:val="006D3C"/>
      <w:kern w:val="1"/>
      <w:sz w:val="32"/>
      <w:szCs w:val="24"/>
      <w:lang w:eastAsia="zh-CN" w:bidi="hi-IN"/>
    </w:rPr>
  </w:style>
  <w:style w:type="paragraph" w:customStyle="1" w:styleId="40">
    <w:name w:val="Título de TDC"/>
    <w:basedOn w:val="2"/>
    <w:next w:val="1"/>
    <w:semiHidden/>
    <w:unhideWhenUsed/>
    <w:qFormat/>
    <w:uiPriority w:val="39"/>
    <w:pPr>
      <w:keepLines/>
      <w:suppressAutoHyphens w:val="0"/>
      <w:spacing w:before="480" w:after="0" w:line="276" w:lineRule="auto"/>
      <w:outlineLvl w:val="9"/>
    </w:pPr>
    <w:rPr>
      <w:rFonts w:cs="Times New Roman"/>
      <w:color w:val="365F91"/>
      <w:kern w:val="0"/>
      <w:sz w:val="28"/>
      <w:szCs w:val="28"/>
      <w:lang w:eastAsia="es-ES"/>
    </w:rPr>
  </w:style>
  <w:style w:type="character" w:customStyle="1" w:styleId="41">
    <w:name w:val="Título Car"/>
    <w:link w:val="25"/>
    <w:uiPriority w:val="10"/>
    <w:rPr>
      <w:rFonts w:ascii="Arial" w:hAnsi="Arial" w:cs="Mangal"/>
      <w:b/>
      <w:bCs/>
      <w:color w:val="006D3C"/>
      <w:kern w:val="28"/>
      <w:sz w:val="32"/>
      <w:szCs w:val="29"/>
      <w:lang w:eastAsia="zh-CN" w:bidi="hi-IN"/>
    </w:rPr>
  </w:style>
  <w:style w:type="character" w:customStyle="1" w:styleId="42">
    <w:name w:val="Subtítulo Car"/>
    <w:link w:val="24"/>
    <w:qFormat/>
    <w:uiPriority w:val="11"/>
    <w:rPr>
      <w:rFonts w:ascii="Verdana" w:hAnsi="Verdana" w:eastAsia="Times New Roman" w:cs="Mangal"/>
      <w:b/>
      <w:color w:val="006D3C"/>
      <w:kern w:val="24"/>
      <w:sz w:val="28"/>
      <w:szCs w:val="21"/>
      <w:lang w:eastAsia="zh-CN" w:bidi="hi-IN"/>
    </w:rPr>
  </w:style>
  <w:style w:type="character" w:customStyle="1" w:styleId="43">
    <w:name w:val="Título 2 Car"/>
    <w:link w:val="3"/>
    <w:qFormat/>
    <w:uiPriority w:val="9"/>
    <w:rPr>
      <w:rFonts w:ascii="Verdana" w:hAnsi="Verdana" w:cs="Mangal"/>
      <w:b/>
      <w:bCs/>
      <w:iCs/>
      <w:kern w:val="1"/>
      <w:sz w:val="32"/>
      <w:szCs w:val="25"/>
      <w:shd w:val="clear" w:color="auto" w:fill="FFFFFF"/>
      <w:lang w:eastAsia="zh-CN" w:bidi="hi-IN"/>
    </w:rPr>
  </w:style>
  <w:style w:type="character" w:customStyle="1" w:styleId="44">
    <w:name w:val="Título 3 Car"/>
    <w:link w:val="4"/>
    <w:qFormat/>
    <w:uiPriority w:val="9"/>
    <w:rPr>
      <w:rFonts w:ascii="Verdana" w:hAnsi="Verdana" w:cs="Mangal"/>
      <w:b/>
      <w:bCs/>
      <w:color w:val="000000"/>
      <w:kern w:val="1"/>
      <w:sz w:val="28"/>
      <w:szCs w:val="23"/>
      <w:shd w:val="clear" w:color="auto" w:fill="FFFFFF" w:themeFill="background1"/>
      <w:lang w:eastAsia="zh-CN" w:bidi="hi-IN"/>
    </w:rPr>
  </w:style>
  <w:style w:type="paragraph" w:styleId="45">
    <w:name w:val="Quote"/>
    <w:basedOn w:val="1"/>
    <w:next w:val="1"/>
    <w:link w:val="46"/>
    <w:qFormat/>
    <w:uiPriority w:val="29"/>
    <w:pPr>
      <w:spacing w:before="200" w:after="160"/>
      <w:ind w:left="864" w:right="864"/>
      <w:jc w:val="center"/>
    </w:pPr>
    <w:rPr>
      <w:rFonts w:cs="Mangal"/>
      <w:i/>
      <w:iCs/>
      <w:color w:val="404040"/>
    </w:rPr>
  </w:style>
  <w:style w:type="character" w:customStyle="1" w:styleId="46">
    <w:name w:val="Cita Car"/>
    <w:link w:val="45"/>
    <w:qFormat/>
    <w:uiPriority w:val="29"/>
    <w:rPr>
      <w:rFonts w:ascii="Arial" w:hAnsi="Arial" w:eastAsia="Noto Sans CJK SC Regular" w:cs="Mangal"/>
      <w:i/>
      <w:iCs/>
      <w:color w:val="404040"/>
      <w:kern w:val="1"/>
      <w:sz w:val="28"/>
      <w:szCs w:val="24"/>
      <w:lang w:eastAsia="zh-CN" w:bidi="hi-IN"/>
    </w:rPr>
  </w:style>
  <w:style w:type="paragraph" w:customStyle="1" w:styleId="47">
    <w:name w:val="Intro"/>
    <w:basedOn w:val="24"/>
    <w:qFormat/>
    <w:uiPriority w:val="0"/>
    <w:rPr>
      <w:b w:val="0"/>
      <w:color w:val="000000"/>
    </w:rPr>
  </w:style>
  <w:style w:type="character" w:customStyle="1" w:styleId="48">
    <w:name w:val="Encabezado Car"/>
    <w:link w:val="18"/>
    <w:qFormat/>
    <w:uiPriority w:val="99"/>
    <w:rPr>
      <w:rFonts w:ascii="Arial" w:hAnsi="Arial" w:eastAsia="Noto Sans CJK SC Regular" w:cs="Mangal"/>
      <w:kern w:val="1"/>
      <w:sz w:val="28"/>
      <w:szCs w:val="24"/>
      <w:lang w:eastAsia="zh-CN" w:bidi="hi-IN"/>
    </w:rPr>
  </w:style>
  <w:style w:type="paragraph" w:customStyle="1" w:styleId="49">
    <w:name w:val="Lista-2"/>
    <w:basedOn w:val="1"/>
    <w:qFormat/>
    <w:uiPriority w:val="0"/>
    <w:pPr>
      <w:numPr>
        <w:ilvl w:val="0"/>
        <w:numId w:val="3"/>
      </w:numPr>
    </w:pPr>
    <w:rPr>
      <w:color w:val="000000"/>
    </w:rPr>
  </w:style>
  <w:style w:type="paragraph" w:customStyle="1" w:styleId="50">
    <w:name w:val="Nota"/>
    <w:basedOn w:val="1"/>
    <w:qFormat/>
    <w:uiPriority w:val="0"/>
    <w:pPr>
      <w:pBdr>
        <w:top w:val="outset" w:color="A6A6A6" w:sz="6" w:space="15"/>
        <w:left w:val="outset" w:color="A6A6A6" w:sz="6" w:space="15"/>
        <w:bottom w:val="dotted" w:color="A6A6A6" w:sz="4" w:space="15"/>
        <w:right w:val="outset" w:color="A6A6A6" w:sz="6" w:space="15"/>
      </w:pBdr>
      <w:shd w:val="clear" w:color="auto" w:fill="FFFFFF" w:themeFill="background1"/>
      <w:spacing w:line="240" w:lineRule="auto"/>
    </w:pPr>
    <w:rPr>
      <w:sz w:val="26"/>
    </w:rPr>
  </w:style>
  <w:style w:type="paragraph" w:customStyle="1" w:styleId="51">
    <w:name w:val="Encabezado 1"/>
    <w:basedOn w:val="1"/>
    <w:uiPriority w:val="0"/>
    <w:pPr>
      <w:spacing w:line="240" w:lineRule="auto"/>
    </w:pPr>
    <w:rPr>
      <w:b/>
      <w:bCs/>
      <w:color w:val="FFFFFF"/>
      <w:szCs w:val="28"/>
    </w:rPr>
  </w:style>
  <w:style w:type="paragraph" w:customStyle="1" w:styleId="52">
    <w:name w:val="Encabeza 2"/>
    <w:basedOn w:val="1"/>
    <w:qFormat/>
    <w:uiPriority w:val="0"/>
    <w:rPr>
      <w:rFonts w:cs="Arial"/>
      <w:color w:val="0D0D0D"/>
      <w:sz w:val="20"/>
      <w:szCs w:val="20"/>
    </w:rPr>
  </w:style>
  <w:style w:type="paragraph" w:customStyle="1" w:styleId="53">
    <w:name w:val="Pie de página 2"/>
    <w:basedOn w:val="29"/>
    <w:qFormat/>
    <w:uiPriority w:val="0"/>
    <w:rPr>
      <w:sz w:val="20"/>
    </w:rPr>
  </w:style>
  <w:style w:type="character" w:customStyle="1" w:styleId="54">
    <w:name w:val="Texto de globo Car"/>
    <w:basedOn w:val="6"/>
    <w:link w:val="15"/>
    <w:semiHidden/>
    <w:qFormat/>
    <w:uiPriority w:val="99"/>
    <w:rPr>
      <w:rFonts w:eastAsia="Noto Sans CJK SC Regular" w:cs="Mangal"/>
      <w:kern w:val="1"/>
      <w:sz w:val="18"/>
      <w:szCs w:val="16"/>
      <w:lang w:eastAsia="zh-CN" w:bidi="hi-IN"/>
    </w:rPr>
  </w:style>
  <w:style w:type="paragraph" w:customStyle="1" w:styleId="55">
    <w:name w:val="Glosa"/>
    <w:basedOn w:val="1"/>
    <w:qFormat/>
    <w:uiPriority w:val="0"/>
    <w:pPr>
      <w:spacing w:before="120" w:line="240" w:lineRule="auto"/>
    </w:pPr>
    <w:rPr>
      <w:sz w:val="26"/>
      <w:lang w:val="en-US"/>
    </w:rPr>
  </w:style>
  <w:style w:type="paragraph" w:customStyle="1" w:styleId="56">
    <w:name w:val="Glosa Título"/>
    <w:basedOn w:val="55"/>
    <w:qFormat/>
    <w:uiPriority w:val="0"/>
    <w:pPr>
      <w:shd w:val="clear" w:color="auto" w:fill="538135" w:themeFill="accent6" w:themeFillShade="BF"/>
    </w:pPr>
    <w:rPr>
      <w:b/>
      <w:color w:val="FFFFFF" w:themeColor="background1"/>
      <w:kern w:val="26"/>
      <w14:textFill>
        <w14:solidFill>
          <w14:schemeClr w14:val="bg1"/>
        </w14:solidFill>
      </w14:textFill>
    </w:rPr>
  </w:style>
  <w:style w:type="paragraph" w:customStyle="1" w:styleId="57">
    <w:name w:val="Lista-1"/>
    <w:basedOn w:val="21"/>
    <w:link w:val="59"/>
    <w:qFormat/>
    <w:uiPriority w:val="0"/>
  </w:style>
  <w:style w:type="character" w:customStyle="1" w:styleId="58">
    <w:name w:val="Lista Car"/>
    <w:basedOn w:val="6"/>
    <w:link w:val="21"/>
    <w:qFormat/>
    <w:uiPriority w:val="0"/>
    <w:rPr>
      <w:rFonts w:ascii="Verdana" w:hAnsi="Verdana" w:eastAsia="Noto Sans CJK SC Regular" w:cs="FreeSans"/>
      <w:kern w:val="1"/>
      <w:sz w:val="28"/>
      <w:szCs w:val="24"/>
      <w:lang w:eastAsia="zh-CN" w:bidi="hi-IN"/>
    </w:rPr>
  </w:style>
  <w:style w:type="character" w:customStyle="1" w:styleId="59">
    <w:name w:val="Lista-1 Car"/>
    <w:basedOn w:val="58"/>
    <w:link w:val="57"/>
    <w:qFormat/>
    <w:uiPriority w:val="0"/>
    <w:rPr>
      <w:rFonts w:ascii="Verdana" w:hAnsi="Verdana" w:eastAsia="Noto Sans CJK SC Regular" w:cs="FreeSans"/>
      <w:kern w:val="1"/>
      <w:sz w:val="28"/>
      <w:szCs w:val="24"/>
      <w:lang w:eastAsia="zh-CN" w:bidi="hi-IN"/>
    </w:rPr>
  </w:style>
  <w:style w:type="paragraph" w:styleId="60">
    <w:name w:val="List Paragraph"/>
    <w:basedOn w:val="1"/>
    <w:qFormat/>
    <w:uiPriority w:val="34"/>
    <w:pPr>
      <w:ind w:left="720"/>
      <w:contextualSpacing/>
    </w:pPr>
    <w:rPr>
      <w:rFonts w:cs="Mangal"/>
    </w:rPr>
  </w:style>
  <w:style w:type="character" w:customStyle="1" w:styleId="61">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4FA244-B094-4389-9E87-4BE09CE1F1D5}">
  <ds:schemaRefs/>
</ds:datastoreItem>
</file>

<file path=customXml/itemProps3.xml><?xml version="1.0" encoding="utf-8"?>
<ds:datastoreItem xmlns:ds="http://schemas.openxmlformats.org/officeDocument/2006/customXml" ds:itemID="{BF384BAC-F2DE-462B-8CBF-EE459E44B41B}">
  <ds:schemaRefs/>
</ds:datastoreItem>
</file>

<file path=customXml/itemProps4.xml><?xml version="1.0" encoding="utf-8"?>
<ds:datastoreItem xmlns:ds="http://schemas.openxmlformats.org/officeDocument/2006/customXml" ds:itemID="{152CDD3E-5A45-4431-94C4-68BBE984492D}">
  <ds:schemaRefs/>
</ds:datastoreItem>
</file>

<file path=customXml/itemProps5.xml><?xml version="1.0" encoding="utf-8"?>
<ds:datastoreItem xmlns:ds="http://schemas.openxmlformats.org/officeDocument/2006/customXml" ds:itemID="{4AF25BF5-5D0C-4D31-8BAE-BBB16C44E578}">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238</Words>
  <Characters>1314</Characters>
  <Lines>10</Lines>
  <Paragraphs>3</Paragraphs>
  <TotalTime>0</TotalTime>
  <ScaleCrop>false</ScaleCrop>
  <LinksUpToDate>false</LinksUpToDate>
  <CharactersWithSpaces>1549</CharactersWithSpaces>
  <Application>WPS Office_12.2.0.21172_F1E327BC-269C-435d-A152-05C5408002CA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2023-02-20T13:05:00Z</dcterms:created>
  <dc:creator>JJ DE LA TORRE</dc:creator>
  <cp:lastModifiedBy>Arantxa Garcia</cp:lastModifiedBy>
  <cp:lastPrinted>2020-03-11T12:10:00Z</cp:lastPrinted>
  <dcterms:modified xsi:type="dcterms:W3CDTF">2025-05-09T07:45:25Z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y fmtid="{D5CDD505-2E9C-101B-9397-08002B2CF9AE}" pid="3" name="KSOProductBuildVer">
    <vt:lpwstr>3082-12.2.0.21172</vt:lpwstr>
  </property>
  <property fmtid="{D5CDD505-2E9C-101B-9397-08002B2CF9AE}" pid="4" name="ICV">
    <vt:lpwstr>66283D76E7544C26A24306B6A800E942_13</vt:lpwstr>
  </property>
</Properties>
</file>