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AF2B3">
      <w:pPr>
        <w:pStyle w:val="2"/>
        <w:spacing w:line="276" w:lineRule="auto"/>
        <w:rPr>
          <w:sz w:val="24"/>
          <w:lang w:val="es"/>
        </w:rPr>
      </w:pPr>
      <w:r>
        <w:rPr>
          <w:sz w:val="24"/>
          <w:lang w:val="es"/>
        </w:rPr>
        <w:t>Objetivos de la práctica</w:t>
      </w:r>
    </w:p>
    <w:p w14:paraId="65DF871D">
      <w:pPr>
        <w:spacing w:line="276" w:lineRule="auto"/>
        <w:jc w:val="both"/>
        <w:rPr>
          <w:sz w:val="24"/>
          <w:szCs w:val="24"/>
          <w:lang w:val="es"/>
        </w:rPr>
      </w:pPr>
      <w:r>
        <w:rPr>
          <w:sz w:val="24"/>
          <w:szCs w:val="24"/>
          <w:lang w:val="es-ES"/>
        </w:rPr>
        <w:t>En los colegios de AFANIAS tenemos la firme convicción de que las habilidades y competencias, tanto académicas como personales y sociales, se desarrollan de manera más significativa a través de experiencias de aprendizaje vivenciales desde edades tempranas. Por ello, promovemos un enfoque educativo basado en la participación activa del alumnado, entendiendo que la implicación directa en la toma de decisiones favorece la autonomía, la responsabilidad y la inclusión.</w:t>
      </w:r>
    </w:p>
    <w:p w14:paraId="17773A26">
      <w:pPr>
        <w:spacing w:line="276" w:lineRule="auto"/>
        <w:jc w:val="both"/>
      </w:pPr>
      <w:r>
        <w:rPr>
          <w:sz w:val="24"/>
          <w:szCs w:val="24"/>
          <w:lang w:val="es"/>
        </w:rPr>
        <w:t xml:space="preserve"> </w:t>
      </w:r>
    </w:p>
    <w:p w14:paraId="6D2ABA90">
      <w:pPr>
        <w:spacing w:line="276" w:lineRule="auto"/>
        <w:jc w:val="both"/>
        <w:rPr>
          <w:sz w:val="24"/>
          <w:szCs w:val="24"/>
          <w:lang w:val="es-ES"/>
        </w:rPr>
      </w:pPr>
      <w:r>
        <w:rPr>
          <w:sz w:val="24"/>
          <w:szCs w:val="24"/>
          <w:lang w:val="es-ES"/>
        </w:rPr>
        <w:t>Este enfoque participativo forma parte esencial de nuestro ideario educativo y se traduce en la cogestión entre el profesorado y el alumnado en la planificación de actividades complementarias, así como en la deliberación sobre aspectos relevantes de la vida escolar. A través de procesos democráticos, como la elección de delegados y delegadas de aula mediante votación tras la presentación de candidaturas, se fomenta la representación del alumnado. Estos delegados trasladan las propuestas de sus compañeros y compañeras a las asambleas mensuales, donde se debaten colectivamente la idoneidad y viabilidad de dichas iniciativas, y se seleccionan aquellas propuestas que mejor respondan a los intereses y deseos de la mayoría de los alumnos y alumnas.</w:t>
      </w:r>
    </w:p>
    <w:p w14:paraId="13427186">
      <w:pPr>
        <w:spacing w:line="276" w:lineRule="auto"/>
        <w:jc w:val="both"/>
      </w:pPr>
      <w:r>
        <w:rPr>
          <w:sz w:val="24"/>
          <w:szCs w:val="24"/>
          <w:lang w:val="es"/>
        </w:rPr>
        <w:t xml:space="preserve"> </w:t>
      </w:r>
    </w:p>
    <w:p w14:paraId="73DA97D8">
      <w:pPr>
        <w:spacing w:line="276" w:lineRule="auto"/>
        <w:jc w:val="both"/>
      </w:pPr>
      <w:r>
        <w:rPr>
          <w:sz w:val="24"/>
          <w:szCs w:val="24"/>
          <w:lang w:val="es"/>
        </w:rPr>
        <w:t>Además, el alumnado participa activamente en órganos institucionales como los equipos de Calidad de Vida y el Consejo Escolar. Esta presencia garantiza que sus voces sean tenidas en cuenta en decisiones clave que afectan a la vida educativa, en coherencia con los principios de inclusión, equidad y respeto a la diversidad.</w:t>
      </w:r>
    </w:p>
    <w:p w14:paraId="7D190B3D">
      <w:pPr>
        <w:spacing w:line="276" w:lineRule="auto"/>
        <w:jc w:val="both"/>
      </w:pPr>
      <w:r>
        <w:rPr>
          <w:sz w:val="24"/>
          <w:szCs w:val="24"/>
          <w:lang w:val="es"/>
        </w:rPr>
        <w:t xml:space="preserve"> </w:t>
      </w:r>
    </w:p>
    <w:p w14:paraId="053DAE9F">
      <w:pPr>
        <w:suppressLineNumbers w:val="0"/>
        <w:bidi w:val="0"/>
        <w:spacing w:before="0" w:beforeAutospacing="0" w:after="0" w:afterAutospacing="0" w:line="276" w:lineRule="auto"/>
        <w:ind w:left="0" w:right="0"/>
        <w:jc w:val="both"/>
        <w:rPr>
          <w:sz w:val="24"/>
          <w:szCs w:val="24"/>
          <w:lang w:val="es-ES"/>
        </w:rPr>
      </w:pPr>
      <w:r>
        <w:rPr>
          <w:sz w:val="24"/>
          <w:szCs w:val="24"/>
          <w:lang w:val="es-ES"/>
        </w:rPr>
        <w:t xml:space="preserve">Este modelo se sustenta en marcos legales y conceptuales sólidos. En primer lugar, la Convención sobre los Derechos de las Personas con Discapacidad (ONU, 2006) reconoce en su artículo 24 el derecho a una educación inclusiva, basada en el respeto a la dignidad, la autonomía y la participación plena y efectiva en la sociedad. Asimismo, el modelo de Calidad de Vida propuesto por Schalock y Verdugo (2002) enfatiza dimensiones como la autodeterminación, la inclusión social y los derechos, aspectos que se ven reflejados en esta forma de entender la escuela como un espacio democrático y plural. La UNESCO (2017), por su parte, ha señalado que la inclusión y la equidad no solamente son principios éticos, sino también condiciones imprescindibles para lograr una educación de calidad. </w:t>
      </w:r>
    </w:p>
    <w:p w14:paraId="397B7544">
      <w:pPr>
        <w:spacing w:line="276" w:lineRule="auto"/>
        <w:jc w:val="both"/>
      </w:pPr>
      <w:r>
        <w:rPr>
          <w:sz w:val="24"/>
          <w:szCs w:val="24"/>
          <w:lang w:val="es"/>
        </w:rPr>
        <w:t xml:space="preserve"> </w:t>
      </w:r>
    </w:p>
    <w:p w14:paraId="5C50A996">
      <w:pPr>
        <w:spacing w:line="276" w:lineRule="auto"/>
        <w:jc w:val="both"/>
      </w:pPr>
      <w:r>
        <w:rPr>
          <w:sz w:val="24"/>
          <w:szCs w:val="24"/>
          <w:lang w:val="es"/>
        </w:rPr>
        <w:t>En definitiva, fomentar la participación del alumnado no solo contribuye al desarrollo de competencias clave, sino que también fortalece una cultura escolar más justa, inclusiva y centrada en la persona.</w:t>
      </w:r>
    </w:p>
    <w:p w14:paraId="30E95F9B">
      <w:pPr>
        <w:spacing w:line="276" w:lineRule="auto"/>
        <w:jc w:val="both"/>
        <w:rPr>
          <w:sz w:val="24"/>
          <w:szCs w:val="24"/>
          <w:lang w:val="es"/>
        </w:rPr>
      </w:pPr>
    </w:p>
    <w:p w14:paraId="76401A5E">
      <w:pPr>
        <w:spacing w:line="276" w:lineRule="auto"/>
        <w:jc w:val="both"/>
        <w:rPr>
          <w:sz w:val="24"/>
          <w:szCs w:val="24"/>
          <w:lang w:val="es-ES"/>
        </w:rPr>
      </w:pPr>
      <w:r>
        <w:rPr>
          <w:sz w:val="24"/>
          <w:szCs w:val="24"/>
          <w:lang w:val="es-ES"/>
        </w:rPr>
        <w:t>Partiendo de este punto, los objetivos de esta práctica son:</w:t>
      </w:r>
    </w:p>
    <w:p w14:paraId="4D40C825">
      <w:pPr>
        <w:spacing w:line="276" w:lineRule="auto"/>
        <w:jc w:val="both"/>
        <w:rPr>
          <w:sz w:val="24"/>
          <w:szCs w:val="24"/>
          <w:lang w:val="es-ES"/>
        </w:rPr>
      </w:pPr>
    </w:p>
    <w:p w14:paraId="11B3E45C">
      <w:pPr>
        <w:pStyle w:val="60"/>
        <w:numPr>
          <w:ilvl w:val="0"/>
          <w:numId w:val="4"/>
        </w:numPr>
        <w:spacing w:line="276" w:lineRule="auto"/>
        <w:jc w:val="both"/>
        <w:rPr>
          <w:sz w:val="24"/>
          <w:szCs w:val="24"/>
          <w:lang w:val="es-ES"/>
        </w:rPr>
      </w:pPr>
      <w:r>
        <w:rPr>
          <w:b/>
          <w:bCs/>
          <w:sz w:val="24"/>
          <w:szCs w:val="24"/>
          <w:lang w:val="es-ES"/>
        </w:rPr>
        <w:t>Fomentar la participación activa y democrática del alumnado</w:t>
      </w:r>
      <w:r>
        <w:rPr>
          <w:sz w:val="24"/>
          <w:szCs w:val="24"/>
          <w:lang w:val="es-ES"/>
        </w:rPr>
        <w:t xml:space="preserve"> en la toma de decisiones que afectan a la vida del centro, promoviendo procesos de representación y diálogo como herramienta de aprendizaje y ciudadanía. </w:t>
      </w:r>
    </w:p>
    <w:p w14:paraId="41EB6BAB">
      <w:pPr>
        <w:pStyle w:val="60"/>
        <w:numPr>
          <w:ilvl w:val="0"/>
          <w:numId w:val="4"/>
        </w:numPr>
        <w:spacing w:line="276" w:lineRule="auto"/>
        <w:jc w:val="both"/>
        <w:rPr>
          <w:b w:val="0"/>
          <w:bCs w:val="0"/>
          <w:sz w:val="24"/>
          <w:szCs w:val="24"/>
          <w:lang w:val="es-ES"/>
        </w:rPr>
      </w:pPr>
      <w:r>
        <w:rPr>
          <w:b/>
          <w:bCs/>
          <w:sz w:val="24"/>
          <w:szCs w:val="24"/>
          <w:lang w:val="es-ES"/>
        </w:rPr>
        <w:t xml:space="preserve">Desarrollar competencias personales y sociales </w:t>
      </w:r>
      <w:r>
        <w:rPr>
          <w:b w:val="0"/>
          <w:bCs w:val="0"/>
          <w:sz w:val="24"/>
          <w:szCs w:val="24"/>
          <w:lang w:val="es-ES"/>
        </w:rPr>
        <w:t xml:space="preserve">como la responsabilidad, el trabajo en equipo, la empatía, la resolución de conflictos y la capacidad de argumentación a través de experiencias vivenciales. </w:t>
      </w:r>
    </w:p>
    <w:p w14:paraId="14F87095">
      <w:pPr>
        <w:pStyle w:val="60"/>
        <w:numPr>
          <w:ilvl w:val="0"/>
          <w:numId w:val="4"/>
        </w:numPr>
        <w:spacing w:line="276" w:lineRule="auto"/>
        <w:jc w:val="both"/>
        <w:rPr>
          <w:b w:val="0"/>
          <w:bCs w:val="0"/>
          <w:sz w:val="24"/>
          <w:szCs w:val="24"/>
          <w:lang w:val="es-ES"/>
        </w:rPr>
      </w:pPr>
      <w:r>
        <w:rPr>
          <w:b/>
          <w:bCs/>
          <w:sz w:val="24"/>
          <w:szCs w:val="24"/>
          <w:lang w:val="es-ES"/>
        </w:rPr>
        <w:t>Impulsar la autodeterminación del alumnado</w:t>
      </w:r>
      <w:r>
        <w:rPr>
          <w:b w:val="0"/>
          <w:bCs w:val="0"/>
          <w:sz w:val="24"/>
          <w:szCs w:val="24"/>
          <w:lang w:val="es-ES"/>
        </w:rPr>
        <w:t xml:space="preserve">, respetando sus intereses, opiniones y deseos como base para una educación personalizada e inclusiva. </w:t>
      </w:r>
    </w:p>
    <w:p w14:paraId="23700BA4">
      <w:pPr>
        <w:pStyle w:val="60"/>
        <w:numPr>
          <w:ilvl w:val="0"/>
          <w:numId w:val="4"/>
        </w:numPr>
        <w:spacing w:line="276" w:lineRule="auto"/>
        <w:jc w:val="both"/>
        <w:rPr>
          <w:b w:val="0"/>
          <w:bCs w:val="0"/>
          <w:sz w:val="24"/>
          <w:szCs w:val="24"/>
          <w:lang w:val="es-ES"/>
        </w:rPr>
      </w:pPr>
      <w:r>
        <w:rPr>
          <w:b/>
          <w:bCs/>
          <w:sz w:val="24"/>
          <w:szCs w:val="24"/>
          <w:lang w:val="es-ES"/>
        </w:rPr>
        <w:t>Favorecer una cultura escolar inclusiva y equitativa</w:t>
      </w:r>
      <w:r>
        <w:rPr>
          <w:b w:val="0"/>
          <w:bCs w:val="0"/>
          <w:sz w:val="24"/>
          <w:szCs w:val="24"/>
          <w:lang w:val="es-ES"/>
        </w:rPr>
        <w:t xml:space="preserve">, donde todas las voces sean escuchadas y valoradas, en coherencia con el enfoque de Derechos Humanos y el modelo de Calidad de Vida. </w:t>
      </w:r>
    </w:p>
    <w:p w14:paraId="6C208BF3">
      <w:pPr>
        <w:pStyle w:val="60"/>
        <w:numPr>
          <w:ilvl w:val="0"/>
          <w:numId w:val="4"/>
        </w:numPr>
        <w:spacing w:line="276" w:lineRule="auto"/>
        <w:jc w:val="both"/>
        <w:rPr>
          <w:b w:val="0"/>
          <w:bCs w:val="0"/>
          <w:sz w:val="24"/>
          <w:szCs w:val="24"/>
          <w:lang w:val="es-ES"/>
        </w:rPr>
      </w:pPr>
      <w:r>
        <w:rPr>
          <w:b/>
          <w:bCs/>
          <w:sz w:val="24"/>
          <w:szCs w:val="24"/>
          <w:lang w:val="es-ES"/>
        </w:rPr>
        <w:t>Promover la cogestión entre alumnado y profesorado</w:t>
      </w:r>
      <w:r>
        <w:rPr>
          <w:b w:val="0"/>
          <w:bCs w:val="0"/>
          <w:sz w:val="24"/>
          <w:szCs w:val="24"/>
          <w:lang w:val="es-ES"/>
        </w:rPr>
        <w:t xml:space="preserve"> en la planificación y evaluación de actividades, contribuyendo a un entorno educativo más horizontal, participativo y significativo. </w:t>
      </w:r>
    </w:p>
    <w:p w14:paraId="604D69E3">
      <w:pPr>
        <w:pStyle w:val="60"/>
        <w:numPr>
          <w:ilvl w:val="0"/>
          <w:numId w:val="4"/>
        </w:numPr>
        <w:spacing w:line="276" w:lineRule="auto"/>
        <w:jc w:val="both"/>
        <w:rPr>
          <w:b w:val="0"/>
          <w:bCs w:val="0"/>
          <w:sz w:val="24"/>
          <w:szCs w:val="24"/>
          <w:lang w:val="es-ES"/>
        </w:rPr>
      </w:pPr>
      <w:r>
        <w:rPr>
          <w:b/>
          <w:bCs/>
          <w:sz w:val="24"/>
          <w:szCs w:val="24"/>
          <w:lang w:val="es-ES"/>
        </w:rPr>
        <w:t>Contribuir a la formación de ciudadanos críticos y comprometidos</w:t>
      </w:r>
      <w:r>
        <w:rPr>
          <w:b w:val="0"/>
          <w:bCs w:val="0"/>
          <w:sz w:val="24"/>
          <w:szCs w:val="24"/>
          <w:lang w:val="es-ES"/>
        </w:rPr>
        <w:t xml:space="preserve">, capacitados para participar activamente en la sociedad y transformar su entorno desde una perspectiva ética y solidaria. </w:t>
      </w:r>
    </w:p>
    <w:p w14:paraId="0595AF96">
      <w:pPr>
        <w:pStyle w:val="60"/>
        <w:numPr>
          <w:ilvl w:val="0"/>
          <w:numId w:val="4"/>
        </w:numPr>
        <w:spacing w:line="276" w:lineRule="auto"/>
        <w:jc w:val="both"/>
        <w:rPr>
          <w:b w:val="0"/>
          <w:bCs w:val="0"/>
          <w:sz w:val="24"/>
          <w:szCs w:val="24"/>
          <w:lang w:val="es-ES"/>
        </w:rPr>
      </w:pPr>
      <w:r>
        <w:rPr>
          <w:b/>
          <w:bCs/>
          <w:sz w:val="24"/>
          <w:szCs w:val="24"/>
          <w:lang w:val="es-ES"/>
        </w:rPr>
        <w:t xml:space="preserve">Incorporar marcos internacionales de referencia </w:t>
      </w:r>
      <w:r>
        <w:rPr>
          <w:b w:val="0"/>
          <w:bCs w:val="0"/>
          <w:sz w:val="24"/>
          <w:szCs w:val="24"/>
          <w:lang w:val="es-ES"/>
        </w:rPr>
        <w:t>(como la Convención sobre los Derechos de las Personas con Discapacidad y el modelo de Calidad de Vida) como fundamentos éticos y pedagógicos del proyecto educativo del centro.</w:t>
      </w:r>
    </w:p>
    <w:p w14:paraId="267B9C56">
      <w:pPr>
        <w:pStyle w:val="60"/>
        <w:spacing w:line="276" w:lineRule="auto"/>
        <w:ind w:left="720"/>
        <w:jc w:val="both"/>
        <w:rPr>
          <w:b w:val="0"/>
          <w:bCs w:val="0"/>
          <w:sz w:val="24"/>
          <w:szCs w:val="24"/>
          <w:lang w:val="es-ES"/>
        </w:rPr>
      </w:pPr>
    </w:p>
    <w:p w14:paraId="053D10C5">
      <w:pPr>
        <w:pStyle w:val="2"/>
        <w:spacing w:line="276" w:lineRule="auto"/>
        <w:rPr>
          <w:sz w:val="24"/>
          <w:lang w:val="es"/>
        </w:rPr>
      </w:pPr>
      <w:r>
        <w:rPr>
          <w:sz w:val="24"/>
          <w:lang w:val="es"/>
        </w:rPr>
        <w:t xml:space="preserve">Desarrollo de la práctica </w:t>
      </w:r>
    </w:p>
    <w:p w14:paraId="1DC367F2">
      <w:pPr>
        <w:spacing w:line="276" w:lineRule="auto"/>
        <w:jc w:val="both"/>
        <w:rPr>
          <w:sz w:val="24"/>
          <w:szCs w:val="24"/>
          <w:lang w:val="es-ES"/>
        </w:rPr>
      </w:pPr>
      <w:r>
        <w:rPr>
          <w:sz w:val="24"/>
          <w:szCs w:val="24"/>
          <w:lang w:val="es-ES"/>
        </w:rPr>
        <w:t xml:space="preserve">La representación de los delegados y su participación en la cogestión del centro educativo es una práctica que está instaurada en los colegios de AFANIAS,  Estudio 3 y Nuestra Señora de Las Victorias, desde hace décadas. Sin embargo, la inclusión de los alumnos y alumnas en los equipos de Calidad de Vida y en el Consejo Escolar es más reciente: desde </w:t>
      </w:r>
      <w:r>
        <w:rPr>
          <w:color w:val="000000" w:themeColor="text1" w:themeTint="FF"/>
          <w:sz w:val="24"/>
          <w:szCs w:val="24"/>
          <w:lang w:val="es-ES"/>
          <w14:textFill>
            <w14:solidFill>
              <w14:schemeClr w14:val="tx1">
                <w14:lumMod w14:val="100000"/>
                <w14:lumOff w14:val="0"/>
              </w14:schemeClr>
            </w14:solidFill>
          </w14:textFill>
        </w:rPr>
        <w:t>2016 en el caso de Estudio 3 y desde 2023 en el caso de Nuestra Señora de Las Victorias</w:t>
      </w:r>
      <w:r>
        <w:rPr>
          <w:sz w:val="24"/>
          <w:szCs w:val="24"/>
          <w:lang w:val="es-ES"/>
        </w:rPr>
        <w:t xml:space="preserve">. Teniendo en cuenta la realidad de los centros (incorporación de nuevos docentes, transición del alumnado, etcétera) algunas fases son continuas, y otras se abordan con una frecuencia que va a depender de estos factores y de la renovación e incorporación de nuevos participantes en los equipos y en los órganos institucionales (representantes de profesorado, alumnado y familias). </w:t>
      </w:r>
    </w:p>
    <w:p w14:paraId="2B914A56">
      <w:pPr>
        <w:spacing w:line="276" w:lineRule="auto"/>
        <w:jc w:val="both"/>
        <w:rPr>
          <w:sz w:val="24"/>
          <w:szCs w:val="24"/>
          <w:lang w:val="es-ES"/>
        </w:rPr>
      </w:pPr>
    </w:p>
    <w:p w14:paraId="0FD1951E">
      <w:pPr>
        <w:spacing w:line="276" w:lineRule="auto"/>
        <w:jc w:val="both"/>
        <w:rPr>
          <w:sz w:val="24"/>
          <w:szCs w:val="24"/>
          <w:lang w:val="es-ES"/>
        </w:rPr>
      </w:pPr>
      <w:r>
        <w:rPr>
          <w:sz w:val="24"/>
          <w:szCs w:val="24"/>
          <w:lang w:val="es-ES"/>
        </w:rPr>
        <w:t xml:space="preserve">Las fases son las siguientes: </w:t>
      </w:r>
    </w:p>
    <w:p w14:paraId="24612765">
      <w:pPr>
        <w:pStyle w:val="60"/>
        <w:numPr>
          <w:ilvl w:val="0"/>
          <w:numId w:val="5"/>
        </w:numPr>
        <w:spacing w:line="276" w:lineRule="auto"/>
        <w:jc w:val="both"/>
        <w:rPr>
          <w:sz w:val="24"/>
          <w:szCs w:val="24"/>
          <w:lang w:val="es-ES"/>
        </w:rPr>
      </w:pPr>
      <w:r>
        <w:rPr>
          <w:sz w:val="24"/>
          <w:szCs w:val="24"/>
          <w:lang w:val="es-ES"/>
        </w:rPr>
        <w:t xml:space="preserve">Sensibilización y definición del enfoque participativo. </w:t>
      </w:r>
    </w:p>
    <w:p w14:paraId="7F6290CB">
      <w:pPr>
        <w:pStyle w:val="60"/>
        <w:numPr>
          <w:ilvl w:val="1"/>
          <w:numId w:val="5"/>
        </w:numPr>
        <w:spacing w:line="276" w:lineRule="auto"/>
        <w:jc w:val="both"/>
        <w:rPr>
          <w:sz w:val="24"/>
          <w:szCs w:val="24"/>
          <w:lang w:val="es-ES"/>
        </w:rPr>
      </w:pPr>
      <w:r>
        <w:rPr>
          <w:sz w:val="24"/>
          <w:szCs w:val="24"/>
          <w:lang w:val="es-ES"/>
        </w:rPr>
        <w:t>Concienciación del equipo docente sobre el papel del alumnado en la vida escolar.</w:t>
      </w:r>
    </w:p>
    <w:p w14:paraId="2AE2074D">
      <w:pPr>
        <w:pStyle w:val="60"/>
        <w:numPr>
          <w:ilvl w:val="1"/>
          <w:numId w:val="5"/>
        </w:numPr>
        <w:spacing w:line="276" w:lineRule="auto"/>
        <w:jc w:val="both"/>
        <w:rPr>
          <w:sz w:val="24"/>
          <w:szCs w:val="24"/>
          <w:lang w:val="es-ES"/>
        </w:rPr>
      </w:pPr>
      <w:r>
        <w:rPr>
          <w:sz w:val="24"/>
          <w:szCs w:val="24"/>
          <w:lang w:val="es-ES"/>
        </w:rPr>
        <w:t>Formación interna sobre participación democrática, educación inclusiva y derechos del alumnado.</w:t>
      </w:r>
    </w:p>
    <w:p w14:paraId="299CF3F7">
      <w:pPr>
        <w:pStyle w:val="60"/>
        <w:numPr>
          <w:ilvl w:val="1"/>
          <w:numId w:val="5"/>
        </w:numPr>
        <w:spacing w:line="276" w:lineRule="auto"/>
        <w:jc w:val="both"/>
        <w:rPr>
          <w:sz w:val="24"/>
          <w:szCs w:val="24"/>
          <w:lang w:val="es-ES"/>
        </w:rPr>
      </w:pPr>
      <w:r>
        <w:rPr>
          <w:sz w:val="24"/>
          <w:szCs w:val="24"/>
          <w:lang w:val="es-ES"/>
        </w:rPr>
        <w:t>Integración de estos principios en el ideario del centro y en los documentos de planificación (PEC, plan de convivencia, plan de atención a la diversidad, etcétera).</w:t>
      </w:r>
    </w:p>
    <w:p w14:paraId="2A77F5FA">
      <w:pPr>
        <w:pStyle w:val="60"/>
        <w:numPr>
          <w:ilvl w:val="0"/>
          <w:numId w:val="5"/>
        </w:numPr>
        <w:spacing w:line="276" w:lineRule="auto"/>
        <w:jc w:val="both"/>
        <w:rPr>
          <w:sz w:val="24"/>
          <w:szCs w:val="24"/>
          <w:lang w:val="es-ES"/>
        </w:rPr>
      </w:pPr>
      <w:r>
        <w:rPr>
          <w:sz w:val="24"/>
          <w:szCs w:val="24"/>
          <w:lang w:val="es-ES"/>
        </w:rPr>
        <w:t>Diseño del modelo de participación.</w:t>
      </w:r>
    </w:p>
    <w:p w14:paraId="3529A0E4">
      <w:pPr>
        <w:pStyle w:val="60"/>
        <w:numPr>
          <w:ilvl w:val="1"/>
          <w:numId w:val="5"/>
        </w:numPr>
        <w:spacing w:line="276" w:lineRule="auto"/>
        <w:jc w:val="both"/>
        <w:rPr>
          <w:sz w:val="24"/>
          <w:szCs w:val="24"/>
          <w:lang w:val="es-ES"/>
        </w:rPr>
      </w:pPr>
      <w:r>
        <w:rPr>
          <w:sz w:val="24"/>
          <w:szCs w:val="24"/>
          <w:lang w:val="es-ES"/>
        </w:rPr>
        <w:t>Establecimiento de estructuras de representación.</w:t>
      </w:r>
    </w:p>
    <w:p w14:paraId="1E7F1375">
      <w:pPr>
        <w:pStyle w:val="60"/>
        <w:numPr>
          <w:ilvl w:val="1"/>
          <w:numId w:val="5"/>
        </w:numPr>
        <w:spacing w:line="276" w:lineRule="auto"/>
        <w:jc w:val="both"/>
        <w:rPr>
          <w:sz w:val="24"/>
          <w:szCs w:val="24"/>
          <w:lang w:val="es-ES"/>
        </w:rPr>
      </w:pPr>
      <w:r>
        <w:rPr>
          <w:sz w:val="24"/>
          <w:szCs w:val="24"/>
          <w:lang w:val="es-ES"/>
        </w:rPr>
        <w:t>Organización de espacios y tiempos regulares para la participación.</w:t>
      </w:r>
    </w:p>
    <w:p w14:paraId="784B4669">
      <w:pPr>
        <w:pStyle w:val="60"/>
        <w:numPr>
          <w:ilvl w:val="0"/>
          <w:numId w:val="5"/>
        </w:numPr>
        <w:spacing w:line="276" w:lineRule="auto"/>
        <w:jc w:val="both"/>
        <w:rPr>
          <w:sz w:val="24"/>
          <w:szCs w:val="24"/>
          <w:lang w:val="es-ES"/>
        </w:rPr>
      </w:pPr>
      <w:r>
        <w:rPr>
          <w:sz w:val="24"/>
          <w:szCs w:val="24"/>
          <w:lang w:val="es-ES"/>
        </w:rPr>
        <w:t>Puesta en marcha de los procesos participativos.</w:t>
      </w:r>
    </w:p>
    <w:p w14:paraId="6E394CDB">
      <w:pPr>
        <w:pStyle w:val="60"/>
        <w:numPr>
          <w:ilvl w:val="0"/>
          <w:numId w:val="5"/>
        </w:numPr>
        <w:spacing w:line="276" w:lineRule="auto"/>
        <w:jc w:val="both"/>
        <w:rPr>
          <w:sz w:val="24"/>
          <w:szCs w:val="24"/>
          <w:lang w:val="es-ES"/>
        </w:rPr>
      </w:pPr>
      <w:r>
        <w:rPr>
          <w:sz w:val="24"/>
          <w:szCs w:val="24"/>
          <w:lang w:val="es-ES"/>
        </w:rPr>
        <w:t xml:space="preserve">Incorporación progresiva de medidas inclusivas. </w:t>
      </w:r>
    </w:p>
    <w:p w14:paraId="32B9B1F4">
      <w:pPr>
        <w:pStyle w:val="60"/>
        <w:numPr>
          <w:ilvl w:val="1"/>
          <w:numId w:val="5"/>
        </w:numPr>
        <w:spacing w:line="276" w:lineRule="auto"/>
        <w:jc w:val="both"/>
        <w:rPr>
          <w:sz w:val="24"/>
          <w:szCs w:val="24"/>
          <w:lang w:val="es-ES"/>
        </w:rPr>
      </w:pPr>
      <w:r>
        <w:rPr>
          <w:sz w:val="24"/>
          <w:szCs w:val="24"/>
          <w:lang w:val="es-ES"/>
        </w:rPr>
        <w:t>Identificación de barreras de participación.</w:t>
      </w:r>
    </w:p>
    <w:p w14:paraId="4EEA8F41">
      <w:pPr>
        <w:pStyle w:val="60"/>
        <w:numPr>
          <w:ilvl w:val="1"/>
          <w:numId w:val="5"/>
        </w:numPr>
        <w:spacing w:line="276" w:lineRule="auto"/>
        <w:jc w:val="both"/>
        <w:rPr>
          <w:sz w:val="24"/>
          <w:szCs w:val="24"/>
          <w:lang w:val="es-ES"/>
        </w:rPr>
      </w:pPr>
      <w:r>
        <w:rPr>
          <w:sz w:val="24"/>
          <w:szCs w:val="24"/>
          <w:lang w:val="es-ES"/>
        </w:rPr>
        <w:t>Implementación de apoyos visuales como pictogramas, actas y órdenes del día en lectura fácil y uso de lenguaje accesible.</w:t>
      </w:r>
    </w:p>
    <w:p w14:paraId="2E004A8A">
      <w:pPr>
        <w:pStyle w:val="60"/>
        <w:numPr>
          <w:ilvl w:val="1"/>
          <w:numId w:val="5"/>
        </w:numPr>
        <w:suppressLineNumbers w:val="0"/>
        <w:bidi w:val="0"/>
        <w:spacing w:before="0" w:beforeAutospacing="0" w:after="0" w:afterAutospacing="0" w:line="276" w:lineRule="auto"/>
        <w:ind w:left="1440" w:right="0" w:hanging="360"/>
        <w:jc w:val="both"/>
        <w:rPr>
          <w:sz w:val="24"/>
          <w:szCs w:val="24"/>
          <w:lang w:val="es-ES"/>
        </w:rPr>
      </w:pPr>
      <w:r>
        <w:rPr>
          <w:sz w:val="24"/>
          <w:szCs w:val="24"/>
          <w:lang w:val="es-ES"/>
        </w:rPr>
        <w:t>Sensibilización a otros representantes sobre la importancia del lenguaje claro y comprensible para garantizar la inclusión de todo el alumnado.</w:t>
      </w:r>
    </w:p>
    <w:p w14:paraId="462CC5E5">
      <w:pPr>
        <w:pStyle w:val="60"/>
        <w:numPr>
          <w:ilvl w:val="0"/>
          <w:numId w:val="5"/>
        </w:numPr>
        <w:spacing w:line="276" w:lineRule="auto"/>
        <w:jc w:val="both"/>
        <w:rPr>
          <w:sz w:val="24"/>
          <w:szCs w:val="24"/>
          <w:lang w:val="es-ES"/>
        </w:rPr>
      </w:pPr>
      <w:r>
        <w:rPr>
          <w:sz w:val="24"/>
          <w:szCs w:val="24"/>
          <w:lang w:val="es-ES"/>
        </w:rPr>
        <w:t>Consolidación y mejora continua.</w:t>
      </w:r>
    </w:p>
    <w:p w14:paraId="509522F4">
      <w:pPr>
        <w:pStyle w:val="60"/>
        <w:numPr>
          <w:ilvl w:val="1"/>
          <w:numId w:val="5"/>
        </w:numPr>
        <w:spacing w:line="276" w:lineRule="auto"/>
        <w:jc w:val="both"/>
        <w:rPr>
          <w:sz w:val="24"/>
          <w:szCs w:val="24"/>
          <w:lang w:val="es-ES"/>
        </w:rPr>
      </w:pPr>
      <w:r>
        <w:rPr>
          <w:sz w:val="24"/>
          <w:szCs w:val="24"/>
          <w:lang w:val="es-ES"/>
        </w:rPr>
        <w:t>Evaluación participativa del proceso (recogida de valoraciones del alumnado y profesorado).</w:t>
      </w:r>
    </w:p>
    <w:p w14:paraId="00F150CC">
      <w:pPr>
        <w:pStyle w:val="60"/>
        <w:numPr>
          <w:ilvl w:val="1"/>
          <w:numId w:val="5"/>
        </w:numPr>
        <w:spacing w:line="276" w:lineRule="auto"/>
        <w:jc w:val="both"/>
        <w:rPr>
          <w:sz w:val="24"/>
          <w:szCs w:val="24"/>
          <w:lang w:val="es-ES"/>
        </w:rPr>
      </w:pPr>
      <w:r>
        <w:rPr>
          <w:sz w:val="24"/>
          <w:szCs w:val="24"/>
          <w:lang w:val="es-ES"/>
        </w:rPr>
        <w:t>Revisión y mejora de los procedimientos de participación, atendiendo a nuevas necesidades.</w:t>
      </w:r>
    </w:p>
    <w:p w14:paraId="1D9A6C76">
      <w:pPr>
        <w:pStyle w:val="60"/>
        <w:numPr>
          <w:ilvl w:val="1"/>
          <w:numId w:val="5"/>
        </w:numPr>
        <w:spacing w:line="276" w:lineRule="auto"/>
        <w:jc w:val="both"/>
        <w:rPr>
          <w:sz w:val="24"/>
          <w:szCs w:val="24"/>
          <w:lang w:val="es-ES"/>
        </w:rPr>
      </w:pPr>
      <w:r>
        <w:rPr>
          <w:sz w:val="24"/>
          <w:szCs w:val="24"/>
          <w:lang w:val="es-ES"/>
        </w:rPr>
        <w:t>Incorporación progresiva del alumnado, para garantizar una transición de representantes correcta, dando a los alumnos los apoyos necesarios en los espacios de representación mediante la figura del facilitador.</w:t>
      </w:r>
    </w:p>
    <w:p w14:paraId="73ED293F">
      <w:pPr>
        <w:spacing w:line="276" w:lineRule="auto"/>
        <w:jc w:val="both"/>
        <w:rPr>
          <w:sz w:val="24"/>
          <w:szCs w:val="24"/>
          <w:lang w:val="es-ES"/>
        </w:rPr>
      </w:pPr>
    </w:p>
    <w:p w14:paraId="7072C8DD">
      <w:pPr>
        <w:spacing w:line="276" w:lineRule="auto"/>
        <w:jc w:val="both"/>
        <w:rPr>
          <w:sz w:val="24"/>
          <w:szCs w:val="24"/>
          <w:lang w:val="es-ES"/>
        </w:rPr>
      </w:pPr>
      <w:r>
        <w:rPr>
          <w:sz w:val="24"/>
          <w:szCs w:val="24"/>
          <w:lang w:val="es-ES"/>
        </w:rPr>
        <w:t>Como principales dificultades que nos hemos encontrado en el desarrollo de esta buena práctica nos encontramos con:</w:t>
      </w:r>
    </w:p>
    <w:p w14:paraId="2A99F143">
      <w:pPr>
        <w:pStyle w:val="60"/>
        <w:numPr>
          <w:ilvl w:val="0"/>
          <w:numId w:val="6"/>
        </w:numPr>
        <w:spacing w:line="276" w:lineRule="auto"/>
        <w:jc w:val="both"/>
        <w:rPr>
          <w:sz w:val="24"/>
          <w:szCs w:val="24"/>
          <w:lang w:val="es-ES"/>
        </w:rPr>
      </w:pPr>
      <w:r>
        <w:rPr>
          <w:b/>
          <w:bCs/>
          <w:sz w:val="24"/>
          <w:szCs w:val="24"/>
          <w:lang w:val="es-ES"/>
        </w:rPr>
        <w:t>La selección de representantes de alumnos</w:t>
      </w:r>
      <w:r>
        <w:rPr>
          <w:sz w:val="24"/>
          <w:szCs w:val="24"/>
          <w:lang w:val="es-ES"/>
        </w:rPr>
        <w:t>.</w:t>
      </w:r>
    </w:p>
    <w:p w14:paraId="6F38C36F">
      <w:pPr>
        <w:pStyle w:val="60"/>
        <w:spacing w:line="276" w:lineRule="auto"/>
        <w:ind w:left="720"/>
        <w:jc w:val="both"/>
        <w:rPr>
          <w:sz w:val="24"/>
          <w:szCs w:val="24"/>
          <w:lang w:val="es-ES"/>
        </w:rPr>
      </w:pPr>
      <w:r>
        <w:rPr>
          <w:sz w:val="24"/>
          <w:szCs w:val="24"/>
          <w:lang w:val="es-ES"/>
        </w:rPr>
        <w:t>El horario de las reuniones del equipo de Calidad de Vida y del Consejo Escolar no coinciden con el horario lectivo, por lo que es necesario la implicación de la familia y/o que los alumnos representantes sean autónomos en el desplazamiento de casa al colegio y viceversa.</w:t>
      </w:r>
    </w:p>
    <w:p w14:paraId="18C6103E">
      <w:pPr>
        <w:pStyle w:val="60"/>
        <w:numPr>
          <w:ilvl w:val="0"/>
          <w:numId w:val="6"/>
        </w:numPr>
        <w:spacing w:line="276" w:lineRule="auto"/>
        <w:jc w:val="both"/>
        <w:rPr>
          <w:sz w:val="24"/>
          <w:szCs w:val="24"/>
          <w:lang w:val="es-ES"/>
        </w:rPr>
      </w:pPr>
      <w:r>
        <w:rPr>
          <w:b/>
          <w:bCs/>
          <w:sz w:val="24"/>
          <w:szCs w:val="24"/>
          <w:lang w:val="es-ES"/>
        </w:rPr>
        <w:t>La transición natural de los alumnos en el colegio</w:t>
      </w:r>
      <w:r>
        <w:rPr>
          <w:sz w:val="24"/>
          <w:szCs w:val="24"/>
          <w:lang w:val="es-ES"/>
        </w:rPr>
        <w:t>.</w:t>
      </w:r>
    </w:p>
    <w:p w14:paraId="127ADECB">
      <w:pPr>
        <w:pStyle w:val="60"/>
        <w:spacing w:line="276" w:lineRule="auto"/>
        <w:ind w:left="720"/>
        <w:jc w:val="both"/>
        <w:rPr>
          <w:sz w:val="24"/>
          <w:szCs w:val="24"/>
          <w:lang w:val="es-ES"/>
        </w:rPr>
      </w:pPr>
      <w:r>
        <w:rPr>
          <w:sz w:val="24"/>
          <w:szCs w:val="24"/>
          <w:lang w:val="es-ES"/>
        </w:rPr>
        <w:t>El entrenamiento previo para la participación adecuada, crítica y realista, del alumnado en los órganos de representación lleva tiempo, lo que hace que los representantes sean alumnos de últimos cursos, y esto conlleva que su permanencia en dichos equipos sea temporal.</w:t>
      </w:r>
    </w:p>
    <w:p w14:paraId="237B8D56">
      <w:pPr>
        <w:pStyle w:val="60"/>
        <w:numPr>
          <w:ilvl w:val="0"/>
          <w:numId w:val="6"/>
        </w:numPr>
        <w:spacing w:line="276" w:lineRule="auto"/>
        <w:jc w:val="both"/>
        <w:rPr>
          <w:sz w:val="24"/>
          <w:szCs w:val="24"/>
          <w:lang w:val="es-ES"/>
        </w:rPr>
      </w:pPr>
      <w:r>
        <w:rPr>
          <w:b/>
          <w:bCs/>
          <w:sz w:val="24"/>
          <w:szCs w:val="24"/>
          <w:lang w:val="es-ES"/>
        </w:rPr>
        <w:t>Información sensible tratada en reuniones</w:t>
      </w:r>
      <w:r>
        <w:rPr>
          <w:sz w:val="24"/>
          <w:szCs w:val="24"/>
          <w:lang w:val="es-ES"/>
        </w:rPr>
        <w:t>.</w:t>
      </w:r>
    </w:p>
    <w:p w14:paraId="5543381A">
      <w:pPr>
        <w:pStyle w:val="60"/>
        <w:spacing w:line="276" w:lineRule="auto"/>
        <w:ind w:left="720"/>
        <w:jc w:val="both"/>
        <w:rPr>
          <w:sz w:val="24"/>
          <w:szCs w:val="24"/>
          <w:lang w:val="es-ES"/>
        </w:rPr>
      </w:pPr>
      <w:r>
        <w:rPr>
          <w:sz w:val="24"/>
          <w:szCs w:val="24"/>
          <w:lang w:val="es-ES"/>
        </w:rPr>
        <w:t>Ante estos casos, el abordaje dependerá mucho de la naturaleza de la información y la posible repercusión personal en los representantes, por lo que puede mermar su participación.</w:t>
      </w:r>
    </w:p>
    <w:p w14:paraId="3FBB2163">
      <w:pPr>
        <w:spacing w:line="276" w:lineRule="auto"/>
        <w:ind w:left="0"/>
        <w:jc w:val="both"/>
        <w:rPr>
          <w:sz w:val="24"/>
          <w:szCs w:val="24"/>
          <w:lang w:val="es-ES"/>
        </w:rPr>
      </w:pPr>
    </w:p>
    <w:p w14:paraId="50307CC1">
      <w:pPr>
        <w:pStyle w:val="2"/>
        <w:spacing w:line="276" w:lineRule="auto"/>
        <w:rPr>
          <w:sz w:val="24"/>
          <w:lang w:val="es"/>
        </w:rPr>
      </w:pPr>
      <w:r>
        <w:rPr>
          <w:sz w:val="24"/>
          <w:lang w:val="es"/>
        </w:rPr>
        <w:t>Método empleado para la puesta en marcha</w:t>
      </w:r>
    </w:p>
    <w:p w14:paraId="4590D1B6">
      <w:pPr>
        <w:spacing w:line="276" w:lineRule="auto"/>
        <w:jc w:val="both"/>
        <w:rPr>
          <w:sz w:val="24"/>
          <w:szCs w:val="24"/>
          <w:lang w:val="es"/>
        </w:rPr>
      </w:pPr>
      <w:r>
        <w:rPr>
          <w:sz w:val="24"/>
          <w:szCs w:val="24"/>
          <w:lang w:val="es"/>
        </w:rPr>
        <w:t>La implantación de esta buena práctica se ha basado en un método participativo e inclusivo, centrado en el protagonismo del alumnado y en la construcción conjunta de una cultura escolar democrática. El enfoque metodológico se articula en torno a los siguientes principios y estrategias:</w:t>
      </w:r>
    </w:p>
    <w:p w14:paraId="4E621DAB">
      <w:pPr>
        <w:pStyle w:val="60"/>
        <w:numPr>
          <w:ilvl w:val="0"/>
          <w:numId w:val="7"/>
        </w:numPr>
        <w:spacing w:line="276" w:lineRule="auto"/>
        <w:jc w:val="both"/>
        <w:rPr>
          <w:sz w:val="24"/>
          <w:szCs w:val="24"/>
          <w:lang w:val="es-ES"/>
        </w:rPr>
      </w:pPr>
      <w:r>
        <w:rPr>
          <w:sz w:val="24"/>
          <w:szCs w:val="24"/>
          <w:lang w:val="es-ES"/>
        </w:rPr>
        <w:t xml:space="preserve">Participación activa y real del alumnado. </w:t>
      </w:r>
    </w:p>
    <w:p w14:paraId="4BFAEDE1">
      <w:pPr>
        <w:pStyle w:val="60"/>
        <w:numPr>
          <w:ilvl w:val="0"/>
          <w:numId w:val="7"/>
        </w:numPr>
        <w:spacing w:line="276" w:lineRule="auto"/>
        <w:jc w:val="both"/>
        <w:rPr>
          <w:sz w:val="24"/>
          <w:szCs w:val="24"/>
          <w:lang w:val="es-ES"/>
        </w:rPr>
      </w:pPr>
      <w:r>
        <w:rPr>
          <w:sz w:val="24"/>
          <w:szCs w:val="24"/>
          <w:lang w:val="es-ES"/>
        </w:rPr>
        <w:t>Apoyos que garanticen la accesibilidad cognitiva.</w:t>
      </w:r>
    </w:p>
    <w:p w14:paraId="46E5AAE9">
      <w:pPr>
        <w:pStyle w:val="60"/>
        <w:numPr>
          <w:ilvl w:val="0"/>
          <w:numId w:val="7"/>
        </w:numPr>
        <w:spacing w:line="276" w:lineRule="auto"/>
        <w:jc w:val="both"/>
        <w:rPr>
          <w:sz w:val="24"/>
          <w:szCs w:val="24"/>
          <w:lang w:val="es-ES"/>
        </w:rPr>
      </w:pPr>
      <w:r>
        <w:rPr>
          <w:sz w:val="24"/>
          <w:szCs w:val="24"/>
          <w:lang w:val="es-ES"/>
        </w:rPr>
        <w:t>Evaluación continua y mejora de la práctica.</w:t>
      </w:r>
    </w:p>
    <w:p w14:paraId="4DE2F762">
      <w:pPr>
        <w:pStyle w:val="60"/>
        <w:numPr>
          <w:ilvl w:val="0"/>
          <w:numId w:val="7"/>
        </w:numPr>
        <w:spacing w:line="276" w:lineRule="auto"/>
        <w:jc w:val="both"/>
        <w:rPr>
          <w:sz w:val="24"/>
          <w:szCs w:val="24"/>
          <w:lang w:val="es-ES"/>
        </w:rPr>
      </w:pPr>
      <w:r>
        <w:rPr>
          <w:sz w:val="24"/>
          <w:szCs w:val="24"/>
          <w:lang w:val="es-ES"/>
        </w:rPr>
        <w:t>Co-creación y corresponsabilidad.</w:t>
      </w:r>
    </w:p>
    <w:p w14:paraId="7B68E625">
      <w:pPr>
        <w:spacing w:line="276" w:lineRule="auto"/>
        <w:rPr>
          <w:sz w:val="24"/>
          <w:szCs w:val="24"/>
          <w:lang w:val="es"/>
        </w:rPr>
      </w:pPr>
    </w:p>
    <w:p w14:paraId="37C2F1BD">
      <w:pPr>
        <w:pStyle w:val="2"/>
        <w:spacing w:line="276" w:lineRule="auto"/>
        <w:rPr>
          <w:sz w:val="24"/>
          <w:lang w:val="es"/>
        </w:rPr>
      </w:pPr>
      <w:r>
        <w:rPr>
          <w:sz w:val="24"/>
          <w:lang w:val="es"/>
        </w:rPr>
        <w:t xml:space="preserve">Principales resultados obtenidos. </w:t>
      </w:r>
    </w:p>
    <w:p w14:paraId="71A6A7C4">
      <w:pPr>
        <w:spacing w:line="276" w:lineRule="auto"/>
        <w:rPr>
          <w:sz w:val="22"/>
          <w:szCs w:val="22"/>
          <w:lang w:val="es"/>
        </w:rPr>
      </w:pPr>
      <w:r>
        <w:rPr>
          <w:sz w:val="24"/>
          <w:szCs w:val="24"/>
          <w:lang w:val="es"/>
        </w:rPr>
        <w:t>Esta buena práctica pone en valor los siguientes resultados:</w:t>
      </w:r>
    </w:p>
    <w:p w14:paraId="16B79BF9">
      <w:pPr>
        <w:pStyle w:val="60"/>
        <w:numPr>
          <w:ilvl w:val="0"/>
          <w:numId w:val="8"/>
        </w:numPr>
        <w:spacing w:line="276" w:lineRule="auto"/>
        <w:rPr>
          <w:sz w:val="24"/>
          <w:szCs w:val="24"/>
          <w:lang w:val="es"/>
        </w:rPr>
      </w:pPr>
      <w:r>
        <w:rPr>
          <w:sz w:val="24"/>
          <w:szCs w:val="24"/>
          <w:lang w:val="es"/>
        </w:rPr>
        <w:t xml:space="preserve">Mejora de la autoestima y el sentido de pertenencia. </w:t>
      </w:r>
    </w:p>
    <w:p w14:paraId="12DBA746">
      <w:pPr>
        <w:pStyle w:val="60"/>
        <w:numPr>
          <w:ilvl w:val="1"/>
          <w:numId w:val="8"/>
        </w:numPr>
        <w:spacing w:line="276" w:lineRule="auto"/>
        <w:rPr>
          <w:sz w:val="24"/>
          <w:szCs w:val="24"/>
          <w:lang w:val="es-ES"/>
        </w:rPr>
      </w:pPr>
      <w:r>
        <w:rPr>
          <w:sz w:val="24"/>
          <w:szCs w:val="24"/>
          <w:lang w:val="es-ES"/>
        </w:rPr>
        <w:t xml:space="preserve">Los alumnos y alumnas que participan activamente en los órganos de representación expresan un mayor sentimiento de valor personal y pertenencia al centro. </w:t>
      </w:r>
    </w:p>
    <w:p w14:paraId="71E1EDBF">
      <w:pPr>
        <w:pStyle w:val="60"/>
        <w:numPr>
          <w:ilvl w:val="1"/>
          <w:numId w:val="8"/>
        </w:numPr>
        <w:spacing w:line="276" w:lineRule="auto"/>
        <w:rPr>
          <w:sz w:val="24"/>
          <w:szCs w:val="24"/>
          <w:lang w:val="es-ES"/>
        </w:rPr>
      </w:pPr>
      <w:r>
        <w:rPr>
          <w:sz w:val="24"/>
          <w:szCs w:val="24"/>
          <w:lang w:val="es-ES"/>
        </w:rPr>
        <w:t>Se han recogido testimonios y observaciones de mejora en la seguridad en sí mismos, especialmente tras ser escuchados y ver que sus opiniones son tenidas en cuenta para la toma de decisiones. Esta autoestima se mantiene en el tiempo.</w:t>
      </w:r>
    </w:p>
    <w:p w14:paraId="0FE2C957">
      <w:pPr>
        <w:pStyle w:val="60"/>
        <w:numPr>
          <w:ilvl w:val="1"/>
          <w:numId w:val="8"/>
        </w:numPr>
        <w:spacing w:line="276" w:lineRule="auto"/>
        <w:rPr>
          <w:sz w:val="24"/>
          <w:szCs w:val="24"/>
          <w:lang w:val="es-ES"/>
        </w:rPr>
      </w:pPr>
      <w:r>
        <w:rPr>
          <w:sz w:val="24"/>
          <w:szCs w:val="24"/>
          <w:lang w:val="es-ES"/>
        </w:rPr>
        <w:t xml:space="preserve">Su participación en espacios formales fortalece su identidad como miembros activos de la comunidad educativa. </w:t>
      </w:r>
    </w:p>
    <w:p w14:paraId="4AFF650C">
      <w:pPr>
        <w:pStyle w:val="60"/>
        <w:numPr>
          <w:ilvl w:val="0"/>
          <w:numId w:val="8"/>
        </w:numPr>
        <w:spacing w:line="276" w:lineRule="auto"/>
        <w:rPr>
          <w:sz w:val="24"/>
          <w:szCs w:val="24"/>
          <w:lang w:val="es-ES"/>
        </w:rPr>
      </w:pPr>
      <w:r>
        <w:rPr>
          <w:sz w:val="24"/>
          <w:szCs w:val="24"/>
          <w:lang w:val="es-ES"/>
        </w:rPr>
        <w:t>Desarrollo de habilidades comunicativas y sociales.</w:t>
      </w:r>
    </w:p>
    <w:p w14:paraId="3C47E96A">
      <w:pPr>
        <w:pStyle w:val="60"/>
        <w:numPr>
          <w:ilvl w:val="1"/>
          <w:numId w:val="8"/>
        </w:numPr>
        <w:spacing w:line="276" w:lineRule="auto"/>
        <w:rPr>
          <w:sz w:val="24"/>
          <w:szCs w:val="24"/>
          <w:lang w:val="es-ES"/>
        </w:rPr>
      </w:pPr>
      <w:r>
        <w:rPr>
          <w:sz w:val="24"/>
          <w:szCs w:val="24"/>
          <w:lang w:val="es-ES"/>
        </w:rPr>
        <w:t>La intervención en reuniones fomenta el uso funcional del lenguaje, tanto oral como alternativo (pictogramas, comunicadores, lengua de signos...), promoviendo la expresión de ideas, emociones y propuestas.</w:t>
      </w:r>
    </w:p>
    <w:p w14:paraId="5C9C5B50">
      <w:pPr>
        <w:pStyle w:val="60"/>
        <w:numPr>
          <w:ilvl w:val="1"/>
          <w:numId w:val="8"/>
        </w:numPr>
        <w:spacing w:line="276" w:lineRule="auto"/>
        <w:rPr>
          <w:sz w:val="24"/>
          <w:szCs w:val="24"/>
          <w:lang w:val="es-ES"/>
        </w:rPr>
      </w:pPr>
      <w:r>
        <w:rPr>
          <w:sz w:val="24"/>
          <w:szCs w:val="24"/>
          <w:lang w:val="es-ES"/>
        </w:rPr>
        <w:t xml:space="preserve">Se ha observado un progreso en la iniciativa comunicativa, la escucha activa y la estructuración del discurso, favorecida por la preparación de las reuniones con la figura del facilitador. </w:t>
      </w:r>
    </w:p>
    <w:p w14:paraId="727E432C">
      <w:pPr>
        <w:pStyle w:val="60"/>
        <w:numPr>
          <w:ilvl w:val="1"/>
          <w:numId w:val="8"/>
        </w:numPr>
        <w:spacing w:line="276" w:lineRule="auto"/>
        <w:rPr>
          <w:sz w:val="24"/>
          <w:szCs w:val="24"/>
          <w:lang w:val="es-ES"/>
        </w:rPr>
      </w:pPr>
      <w:r>
        <w:rPr>
          <w:sz w:val="24"/>
          <w:szCs w:val="24"/>
          <w:lang w:val="es-ES"/>
        </w:rPr>
        <w:t>Los representantes de alumnos adquieren competencias en el diálogo, negociación y respeto a turnos de palabra.</w:t>
      </w:r>
    </w:p>
    <w:p w14:paraId="790F3AD9">
      <w:pPr>
        <w:pStyle w:val="60"/>
        <w:numPr>
          <w:ilvl w:val="0"/>
          <w:numId w:val="8"/>
        </w:numPr>
        <w:spacing w:line="276" w:lineRule="auto"/>
        <w:rPr>
          <w:sz w:val="24"/>
          <w:szCs w:val="24"/>
          <w:lang w:val="es-ES"/>
        </w:rPr>
      </w:pPr>
      <w:r>
        <w:rPr>
          <w:sz w:val="24"/>
          <w:szCs w:val="24"/>
          <w:lang w:val="es-ES"/>
        </w:rPr>
        <w:t>Autodeterminación y toma de decisiones.</w:t>
      </w:r>
    </w:p>
    <w:p w14:paraId="1F7528AB">
      <w:pPr>
        <w:pStyle w:val="60"/>
        <w:numPr>
          <w:ilvl w:val="1"/>
          <w:numId w:val="8"/>
        </w:numPr>
        <w:spacing w:line="276" w:lineRule="auto"/>
        <w:rPr>
          <w:sz w:val="24"/>
          <w:szCs w:val="24"/>
          <w:lang w:val="es-ES"/>
        </w:rPr>
      </w:pPr>
      <w:r>
        <w:rPr>
          <w:sz w:val="24"/>
          <w:szCs w:val="24"/>
          <w:lang w:val="es-ES"/>
        </w:rPr>
        <w:t>La participación en los órganos de cogobierno del centro permite a los alumnos y alumnas tomar decisiones que afectan a su vida diaria en el colegio (menú, actividades complementarias, instalaciones, recursos de ocio...), favoreciendo el desarrollo de su autonomía personal, el sentido de la responsabilidad y la viabilidad de las propuestas.</w:t>
      </w:r>
    </w:p>
    <w:p w14:paraId="26F22E52">
      <w:pPr>
        <w:pStyle w:val="60"/>
        <w:numPr>
          <w:ilvl w:val="0"/>
          <w:numId w:val="8"/>
        </w:numPr>
        <w:spacing w:line="276" w:lineRule="auto"/>
        <w:rPr>
          <w:sz w:val="24"/>
          <w:szCs w:val="24"/>
          <w:lang w:val="es-ES"/>
        </w:rPr>
      </w:pPr>
      <w:r>
        <w:rPr>
          <w:sz w:val="24"/>
          <w:szCs w:val="24"/>
          <w:lang w:val="es-ES"/>
        </w:rPr>
        <w:t>Empoderamiento y rol activo en la vida escolar.</w:t>
      </w:r>
    </w:p>
    <w:p w14:paraId="445B539C">
      <w:pPr>
        <w:pStyle w:val="60"/>
        <w:numPr>
          <w:ilvl w:val="1"/>
          <w:numId w:val="8"/>
        </w:numPr>
        <w:spacing w:line="276" w:lineRule="auto"/>
        <w:rPr>
          <w:sz w:val="24"/>
          <w:szCs w:val="24"/>
          <w:lang w:val="es-ES"/>
        </w:rPr>
      </w:pPr>
      <w:r>
        <w:rPr>
          <w:sz w:val="24"/>
          <w:szCs w:val="24"/>
          <w:lang w:val="es-ES"/>
        </w:rPr>
        <w:t>El resto de compañeros conocen la labor de los representantes, y se despierta la inquietud por la participación, promoviendo una cultura de inclusión activa del alumnado en la comunidad educativa.</w:t>
      </w:r>
    </w:p>
    <w:p w14:paraId="3ECBCADF">
      <w:pPr>
        <w:pStyle w:val="60"/>
        <w:numPr>
          <w:ilvl w:val="1"/>
          <w:numId w:val="8"/>
        </w:numPr>
        <w:spacing w:line="276" w:lineRule="auto"/>
        <w:rPr>
          <w:sz w:val="24"/>
          <w:szCs w:val="24"/>
          <w:lang w:val="es-ES"/>
        </w:rPr>
      </w:pPr>
      <w:r>
        <w:rPr>
          <w:sz w:val="24"/>
          <w:szCs w:val="24"/>
          <w:lang w:val="es-ES"/>
        </w:rPr>
        <w:t>La figura del representante de alumnos se respeta por todos los miembros de los equipos de trabajo y los miembros del Consejo Escolar, que consideran su participación digna y enriquecedora.</w:t>
      </w:r>
    </w:p>
    <w:p w14:paraId="1E8C1525">
      <w:pPr>
        <w:pStyle w:val="60"/>
        <w:numPr>
          <w:ilvl w:val="0"/>
          <w:numId w:val="8"/>
        </w:numPr>
        <w:spacing w:line="276" w:lineRule="auto"/>
        <w:rPr>
          <w:sz w:val="24"/>
          <w:szCs w:val="24"/>
          <w:lang w:val="es-ES"/>
        </w:rPr>
      </w:pPr>
      <w:r>
        <w:rPr>
          <w:sz w:val="24"/>
          <w:szCs w:val="24"/>
          <w:lang w:val="es-ES"/>
        </w:rPr>
        <w:t>Generalización de las competencias comunicativos en entornos inclusivos.</w:t>
      </w:r>
    </w:p>
    <w:p w14:paraId="41927260">
      <w:pPr>
        <w:pStyle w:val="60"/>
        <w:numPr>
          <w:ilvl w:val="1"/>
          <w:numId w:val="8"/>
        </w:numPr>
        <w:spacing w:line="276" w:lineRule="auto"/>
        <w:rPr>
          <w:sz w:val="24"/>
          <w:szCs w:val="24"/>
          <w:lang w:val="es-ES"/>
        </w:rPr>
      </w:pPr>
      <w:r>
        <w:rPr>
          <w:sz w:val="24"/>
          <w:szCs w:val="24"/>
          <w:lang w:val="es-ES"/>
        </w:rPr>
        <w:t>Parte de los delegados del centro y los representantes de alumnos han participado en sesiones en el Pleno del Ayuntamiento de Madrid mediante el programa COPIA y en el programa Euroscola del Parlamento Europeo en Estrasburgo desarrollando las habilidades adquiridas previamente en entornos más seguros dentro del colegio.</w:t>
      </w:r>
    </w:p>
    <w:p w14:paraId="414173CC">
      <w:pPr>
        <w:spacing w:line="276" w:lineRule="auto"/>
        <w:ind w:left="0"/>
        <w:rPr>
          <w:rStyle w:val="9"/>
          <w:sz w:val="24"/>
          <w:szCs w:val="24"/>
          <w:lang w:val="es-ES"/>
        </w:rPr>
      </w:pPr>
      <w:r>
        <w:rPr>
          <w:sz w:val="24"/>
          <w:szCs w:val="24"/>
          <w:lang w:val="es-ES"/>
        </w:rPr>
        <w:t xml:space="preserve">Enlace a testimonios: </w:t>
      </w:r>
      <w:r>
        <w:fldChar w:fldCharType="begin"/>
      </w:r>
      <w:r>
        <w:instrText xml:space="preserve"> HYPERLINK "https://drive.google.com/drive/folders/1PpO-3O0fcs7McyVzt8IKKrNyLLLyxXex?usp=drive_link" \h </w:instrText>
      </w:r>
      <w:r>
        <w:fldChar w:fldCharType="separate"/>
      </w:r>
      <w:r>
        <w:rPr>
          <w:rStyle w:val="9"/>
          <w:sz w:val="24"/>
          <w:szCs w:val="24"/>
          <w:lang w:val="es-ES"/>
        </w:rPr>
        <w:t>Desarrollo y beneficios de la BP</w:t>
      </w:r>
      <w:r>
        <w:rPr>
          <w:rStyle w:val="9"/>
          <w:sz w:val="24"/>
          <w:szCs w:val="24"/>
          <w:lang w:val="es-ES"/>
        </w:rPr>
        <w:fldChar w:fldCharType="end"/>
      </w:r>
    </w:p>
    <w:p w14:paraId="34823098">
      <w:pPr>
        <w:spacing w:line="276" w:lineRule="auto"/>
        <w:ind w:left="0"/>
        <w:rPr>
          <w:rStyle w:val="9"/>
          <w:sz w:val="24"/>
          <w:szCs w:val="24"/>
          <w:lang w:val="es-ES"/>
        </w:rPr>
      </w:pPr>
    </w:p>
    <w:p w14:paraId="5023A44C">
      <w:pPr>
        <w:pStyle w:val="2"/>
        <w:spacing w:line="276" w:lineRule="auto"/>
        <w:rPr>
          <w:sz w:val="24"/>
          <w:lang w:val="es"/>
        </w:rPr>
      </w:pPr>
      <w:r>
        <w:rPr>
          <w:sz w:val="24"/>
          <w:lang w:val="es"/>
        </w:rPr>
        <w:t>Aspectos del trabajo que pueden ser relevantes para el tercer sector</w:t>
      </w:r>
    </w:p>
    <w:p w14:paraId="6D477AE5">
      <w:pPr>
        <w:spacing w:line="276" w:lineRule="auto"/>
        <w:jc w:val="both"/>
        <w:rPr>
          <w:sz w:val="24"/>
          <w:szCs w:val="24"/>
          <w:lang w:val="es"/>
        </w:rPr>
      </w:pPr>
      <w:r>
        <w:rPr>
          <w:sz w:val="24"/>
          <w:szCs w:val="24"/>
          <w:lang w:val="es-ES"/>
        </w:rPr>
        <w:t>Esta buena práctica, basada en la participación activa e inclusiva del alumnado, ofrece una valiosa aportación al tercer sector. Su enfoque está centrado en los derechos, la autodeterminación y la calidad de vida de las personas. El uso de recursos accesibles como pictogramas, lectura fácil y lenguaje claro no solamente garantiza la participación de todo el alumnado, sino que representa un modelo transferible a otros ámbitos comunitarios y sociales. El colegio, al convertirse en un espacio de inclusión, atención a la persona y transformación social, se posiciona como un aliado estratégico para el tercer sector, generando sinergias que refuercen una sociedad más justa, inclusiva y participativa.</w:t>
      </w:r>
    </w:p>
    <w:p w14:paraId="010593A0">
      <w:pPr>
        <w:spacing w:line="276" w:lineRule="auto"/>
        <w:rPr>
          <w:sz w:val="24"/>
          <w:szCs w:val="22"/>
          <w:lang w:val="es"/>
        </w:rPr>
      </w:pPr>
    </w:p>
    <w:p w14:paraId="0917A326">
      <w:pPr>
        <w:pStyle w:val="2"/>
        <w:spacing w:line="276" w:lineRule="auto"/>
        <w:rPr>
          <w:sz w:val="24"/>
          <w:lang w:val="es"/>
        </w:rPr>
      </w:pPr>
      <w:r>
        <w:rPr>
          <w:sz w:val="24"/>
          <w:lang w:val="es"/>
        </w:rPr>
        <w:t xml:space="preserve">Conclusiones </w:t>
      </w:r>
    </w:p>
    <w:p w14:paraId="32EE4DF3">
      <w:pPr>
        <w:spacing w:line="276" w:lineRule="auto"/>
        <w:jc w:val="both"/>
        <w:rPr>
          <w:sz w:val="24"/>
          <w:szCs w:val="24"/>
          <w:lang w:val="es-ES"/>
        </w:rPr>
      </w:pPr>
      <w:bookmarkStart w:id="0" w:name="_GoBack"/>
      <w:bookmarkEnd w:id="0"/>
      <w:r>
        <w:rPr>
          <w:sz w:val="24"/>
          <w:szCs w:val="24"/>
          <w:lang w:val="es-ES"/>
        </w:rPr>
        <w:t>Esta práctica ha tenido un impacto significativo en la vida del alumnado, promoviendo su participación real, el desarrollo de su autonomía y el fortalecimiento de su sentido de pertenencia. Para nuestros alumnos y alumnas, con discapacidad intelectual, ha supuesto un avance concreto hacia la inclusión efectiva, garantizando apoyos que hacen posible su participación en igualdad de condiciones.</w:t>
      </w:r>
    </w:p>
    <w:p w14:paraId="2A310F76">
      <w:pPr>
        <w:spacing w:line="276" w:lineRule="auto"/>
        <w:jc w:val="both"/>
        <w:rPr>
          <w:sz w:val="24"/>
          <w:szCs w:val="24"/>
          <w:lang w:val="es"/>
        </w:rPr>
      </w:pPr>
      <w:r>
        <w:rPr>
          <w:sz w:val="24"/>
          <w:szCs w:val="24"/>
          <w:lang w:val="es"/>
        </w:rPr>
        <w:t xml:space="preserve"> </w:t>
      </w:r>
    </w:p>
    <w:p w14:paraId="1E5B8E2B">
      <w:pPr>
        <w:spacing w:line="276" w:lineRule="auto"/>
        <w:jc w:val="both"/>
        <w:rPr>
          <w:sz w:val="24"/>
          <w:szCs w:val="24"/>
          <w:lang w:val="es"/>
        </w:rPr>
      </w:pPr>
      <w:r>
        <w:rPr>
          <w:sz w:val="24"/>
          <w:szCs w:val="24"/>
          <w:lang w:val="es"/>
        </w:rPr>
        <w:t>Además, contribuye directamente a la misión del centro y del Movimiento Asociativo, al materializar valores como la autodeterminación, la igualdad de oportunidades y la ciudadanía activa, fortaleciendo el compromiso con una sociedad más justa, inclusiva y centrada en las personas.</w:t>
      </w:r>
    </w:p>
    <w:p w14:paraId="5C6C7E5D">
      <w:pPr>
        <w:spacing w:line="276" w:lineRule="auto"/>
        <w:rPr>
          <w:sz w:val="24"/>
          <w:szCs w:val="22"/>
          <w:lang w:val="es"/>
        </w:rPr>
      </w:pPr>
    </w:p>
    <w:sectPr>
      <w:headerReference r:id="rId5" w:type="default"/>
      <w:footerReference r:id="rId6" w:type="default"/>
      <w:pgSz w:w="11906" w:h="16838"/>
      <w:pgMar w:top="2431" w:right="1134" w:bottom="816" w:left="1134" w:header="0" w:footer="0" w:gutter="0"/>
      <w:pgNumType w:start="1"/>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Noto Sans CJK SC Regular">
    <w:altName w:val="Times New Roman"/>
    <w:panose1 w:val="00000000000000000000"/>
    <w:charset w:val="01"/>
    <w:family w:val="auto"/>
    <w:pitch w:val="default"/>
    <w:sig w:usb0="00000000" w:usb1="00000000" w:usb2="00000000" w:usb3="00000000" w:csb0="00000000" w:csb1="00000000"/>
  </w:font>
  <w:font w:name="FreeSans">
    <w:altName w:val="Times New Roman"/>
    <w:panose1 w:val="00000000000000000000"/>
    <w:charset w:val="01"/>
    <w:family w:val="auto"/>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F4F3C">
    <w:pPr>
      <w:pStyle w:val="23"/>
    </w:pPr>
    <w:r>
      <w:rPr>
        <w:lang w:val="es"/>
      </w:rPr>
      <mc:AlternateContent>
        <mc:Choice Requires="wps">
          <w:drawing>
            <wp:anchor distT="0" distB="0" distL="114300" distR="114300" simplePos="0" relativeHeight="251667456" behindDoc="0" locked="0" layoutInCell="1" allowOverlap="1">
              <wp:simplePos x="0" y="0"/>
              <wp:positionH relativeFrom="page">
                <wp:posOffset>572135</wp:posOffset>
              </wp:positionH>
              <wp:positionV relativeFrom="page">
                <wp:posOffset>10307320</wp:posOffset>
              </wp:positionV>
              <wp:extent cx="5116830" cy="313690"/>
              <wp:effectExtent l="0" t="0" r="1270" b="3810"/>
              <wp:wrapTight wrapText="bothSides">
                <wp:wrapPolygon>
                  <wp:start x="0" y="0"/>
                  <wp:lineTo x="0" y="20988"/>
                  <wp:lineTo x="21552" y="20988"/>
                  <wp:lineTo x="21552" y="0"/>
                  <wp:lineTo x="0" y="0"/>
                </wp:wrapPolygon>
              </wp:wrapTight>
              <wp:docPr id="18" name="Text Box 8"/>
              <wp:cNvGraphicFramePr/>
              <a:graphic xmlns:a="http://schemas.openxmlformats.org/drawingml/2006/main">
                <a:graphicData uri="http://schemas.microsoft.com/office/word/2010/wordprocessingShape">
                  <wps:wsp>
                    <wps:cNvSpPr txBox="1"/>
                    <wps:spPr bwMode="auto">
                      <a:xfrm>
                        <a:off x="0" y="0"/>
                        <a:ext cx="5116945" cy="313978"/>
                      </a:xfrm>
                      <a:prstGeom prst="rect">
                        <a:avLst/>
                      </a:prstGeom>
                      <a:noFill/>
                      <a:ln>
                        <a:noFill/>
                      </a:ln>
                    </wps:spPr>
                    <wps:txbx>
                      <w:txbxContent>
                        <w:p w14:paraId="604FD74E">
                          <w:pPr>
                            <w:pStyle w:val="53"/>
                          </w:pPr>
                          <w:r>
                            <w:fldChar w:fldCharType="begin"/>
                          </w:r>
                          <w:r>
                            <w:instrText xml:space="preserve"> HYPERLINK "http://www.plenainclusion.org" </w:instrText>
                          </w:r>
                          <w:r>
                            <w:fldChar w:fldCharType="separate"/>
                          </w:r>
                          <w:r>
                            <w:rPr>
                              <w:rStyle w:val="9"/>
                              <w:lang w:val="es"/>
                            </w:rPr>
                            <w:t>www.plenainclusion.org</w:t>
                          </w:r>
                          <w:r>
                            <w:rPr>
                              <w:rStyle w:val="9"/>
                              <w:lang w:val="es"/>
                            </w:rPr>
                            <w:fldChar w:fldCharType="end"/>
                          </w:r>
                          <w:r>
                            <w:rPr>
                              <w:lang w:val="es"/>
                            </w:rPr>
                            <w:t xml:space="preserve"> </w:t>
                          </w:r>
                        </w:p>
                        <w:p w14:paraId="7203BF79">
                          <w:pPr>
                            <w:rPr>
                              <w:sz w:val="20"/>
                              <w:szCs w:val="20"/>
                            </w:rPr>
                          </w:pP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45.05pt;margin-top:811.6pt;height:24.7pt;width:402.9pt;mso-position-horizontal-relative:page;mso-position-vertical-relative:page;mso-wrap-distance-left:9pt;mso-wrap-distance-right:9pt;z-index:251667456;mso-width-relative:page;mso-height-relative:page;" filled="f" stroked="f" coordsize="21600,21600" wrapcoords="0 0 0 20988 21552 20988 21552 0 0 0" o:gfxdata="UEsDBAoAAAAAAIdO4kAAAAAAAAAAAAAAAAAEAAAAZHJzL1BLAwQUAAAACACHTuJAARZtOdoAAAAM&#10;AQAADwAAAGRycy9kb3ducmV2LnhtbE2Py07DMBBF90j9B2sqsaN2gghNiFMhBCskRBoWLJ14mliN&#10;xyF2H/w97oou587RnTPl5mxHdsTZG0cSkpUAhtQ5baiX8NW83a2B+aBIq9ERSvhFD5tqcVOqQrsT&#10;1Xjchp7FEvKFkjCEMBWc+25Aq/zKTUhxt3OzVSGOc8/1rE6x3I48FSLjVhmKFwY14cuA3X57sBKe&#10;v6l+NT8f7We9q03T5ILes72Ut8tEPAELeA7/MFz0ozpU0al1B9KejRJykUQy5ll6nwKLxDp/yIG1&#10;l+gxzYBXJb9+ovoDUEsDBBQAAAAIAIdO4kCGvbsf5AEAANUDAAAOAAAAZHJzL2Uyb0RvYy54bWyt&#10;U01v1DAQvSPxHyzf2WxaWtposxWwKkLiS2r5AY5jbyzFHjP2brL8esZOskC59MDFGo+fn+e9GW/u&#10;Rtuzo8JgwNW8XK05U05Ca9y+5t8f71/dcBaicK3owaman1Tgd9uXLzaDr9QFdNC3ChmRuFANvuZd&#10;jL4qiiA7ZUVYgVeODjWgFZG2uC9aFAOx2764WK+viwGw9QhShUDZ3XTIZ0Z8DiFobaTagTxY5eLE&#10;iqoXkSSFzvjAt7larZWMX7UOKrK+5qQ05pUeobhJa7HdiGqPwndGziWI55TwRJMVxtGjZ6qdiIId&#10;0PxDZY1ECKDjSoItJiHZEVJRrp9489AJr7IWsjr4s+nh/9HKL8dvyExLk0B9d8JSxx/VGNk7GNlN&#10;smfwoSLUgydcHClN0CUfUrIZPkNL18QhQvZg1GiTF6SOEZqsPp2tTtSSkldleX37+oozSWeX5eXt&#10;m/xYIarltscQPyiwLAU1R2plZhfHTyFSXQRdIOkxB/em73M7e/dXgoApUyQhqeBJUhybcVbXQHsi&#10;HQjTdNDfoKAD/MnZQJNR8/DjIFBx1n90ZH0aoyXAJWiWQDhJV2seOZvC93Eat4NHs++IucwyHLwl&#10;v7TJUlJpUxVzndTtrHCezDROf+4z6vdv3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RZtOdoA&#10;AAAMAQAADwAAAAAAAAABACAAAAAiAAAAZHJzL2Rvd25yZXYueG1sUEsBAhQAFAAAAAgAh07iQIa9&#10;ux/kAQAA1QMAAA4AAAAAAAAAAQAgAAAAKQEAAGRycy9lMm9Eb2MueG1sUEsFBgAAAAAGAAYAWQEA&#10;AH8FAAAAAA==&#10;">
              <v:fill on="f" focussize="0,0"/>
              <v:stroke on="f"/>
              <v:imagedata o:title=""/>
              <o:lock v:ext="edit" aspectratio="f"/>
              <v:textbox inset="0mm,0mm,0mm,0mm">
                <w:txbxContent>
                  <w:p w14:paraId="604FD74E">
                    <w:pPr>
                      <w:pStyle w:val="53"/>
                    </w:pPr>
                    <w:r>
                      <w:fldChar w:fldCharType="begin"/>
                    </w:r>
                    <w:r>
                      <w:instrText xml:space="preserve"> HYPERLINK "http://www.plenainclusion.org" </w:instrText>
                    </w:r>
                    <w:r>
                      <w:fldChar w:fldCharType="separate"/>
                    </w:r>
                    <w:r>
                      <w:rPr>
                        <w:rStyle w:val="9"/>
                        <w:lang w:val="es"/>
                      </w:rPr>
                      <w:t>www.plenainclusion.org</w:t>
                    </w:r>
                    <w:r>
                      <w:rPr>
                        <w:rStyle w:val="9"/>
                        <w:lang w:val="es"/>
                      </w:rPr>
                      <w:fldChar w:fldCharType="end"/>
                    </w:r>
                    <w:r>
                      <w:rPr>
                        <w:lang w:val="es"/>
                      </w:rPr>
                      <w:t xml:space="preserve"> </w:t>
                    </w:r>
                  </w:p>
                  <w:p w14:paraId="7203BF79">
                    <w:pPr>
                      <w:rPr>
                        <w:sz w:val="20"/>
                        <w:szCs w:val="20"/>
                      </w:rPr>
                    </w:pPr>
                  </w:p>
                </w:txbxContent>
              </v:textbox>
              <w10:wrap type="tight"/>
            </v:shape>
          </w:pict>
        </mc:Fallback>
      </mc:AlternateContent>
    </w:r>
    <w:r>
      <w:rPr>
        <w:lang w:val="es"/>
      </w:rPr>
      <mc:AlternateContent>
        <mc:Choice Requires="wps">
          <w:drawing>
            <wp:anchor distT="0" distB="0" distL="114300" distR="114300" simplePos="0" relativeHeight="251665408" behindDoc="0" locked="0" layoutInCell="1" allowOverlap="1">
              <wp:simplePos x="0" y="0"/>
              <wp:positionH relativeFrom="page">
                <wp:posOffset>5624830</wp:posOffset>
              </wp:positionH>
              <wp:positionV relativeFrom="page">
                <wp:posOffset>10298430</wp:posOffset>
              </wp:positionV>
              <wp:extent cx="1662430" cy="323215"/>
              <wp:effectExtent l="0" t="0" r="1905" b="6985"/>
              <wp:wrapTight wrapText="bothSides">
                <wp:wrapPolygon>
                  <wp:start x="0" y="0"/>
                  <wp:lineTo x="0" y="21218"/>
                  <wp:lineTo x="21460" y="21218"/>
                  <wp:lineTo x="21460" y="0"/>
                  <wp:lineTo x="0" y="0"/>
                </wp:wrapPolygon>
              </wp:wrapTight>
              <wp:docPr id="16" name="Text Box 8"/>
              <wp:cNvGraphicFramePr/>
              <a:graphic xmlns:a="http://schemas.openxmlformats.org/drawingml/2006/main">
                <a:graphicData uri="http://schemas.microsoft.com/office/word/2010/wordprocessingShape">
                  <wps:wsp>
                    <wps:cNvSpPr txBox="1"/>
                    <wps:spPr bwMode="auto">
                      <a:xfrm>
                        <a:off x="0" y="0"/>
                        <a:ext cx="1662315" cy="323273"/>
                      </a:xfrm>
                      <a:prstGeom prst="rect">
                        <a:avLst/>
                      </a:prstGeom>
                      <a:noFill/>
                      <a:ln>
                        <a:noFill/>
                      </a:ln>
                    </wps:spPr>
                    <wps:txbx>
                      <w:txbxContent>
                        <w:p w14:paraId="5BC1A5E7">
                          <w:pPr>
                            <w:pStyle w:val="23"/>
                          </w:pPr>
                          <w:r>
                            <w:rPr>
                              <w:lang w:val="es"/>
                            </w:rPr>
                            <w:t xml:space="preserve">Página </w:t>
                          </w:r>
                          <w:r>
                            <w:rPr>
                              <w:lang w:val="es"/>
                            </w:rPr>
                            <w:fldChar w:fldCharType="begin"/>
                          </w:r>
                          <w:r>
                            <w:rPr>
                              <w:lang w:val="es"/>
                            </w:rPr>
                            <w:instrText xml:space="preserve"> PAGE </w:instrText>
                          </w:r>
                          <w:r>
                            <w:rPr>
                              <w:lang w:val="es"/>
                            </w:rPr>
                            <w:fldChar w:fldCharType="separate"/>
                          </w:r>
                          <w:r>
                            <w:rPr>
                              <w:lang w:val="es"/>
                            </w:rPr>
                            <w:t>1</w:t>
                          </w:r>
                          <w:r>
                            <w:rPr>
                              <w:lang w:val="es"/>
                            </w:rPr>
                            <w:fldChar w:fldCharType="end"/>
                          </w:r>
                          <w:r>
                            <w:rPr>
                              <w:lang w:val="es"/>
                            </w:rPr>
                            <w:t xml:space="preserve"> de </w:t>
                          </w:r>
                          <w:r>
                            <w:rPr>
                              <w:lang w:val="es"/>
                            </w:rPr>
                            <w:fldChar w:fldCharType="begin"/>
                          </w:r>
                          <w:r>
                            <w:rPr>
                              <w:lang w:val="es"/>
                            </w:rPr>
                            <w:instrText xml:space="preserve"> NUMPAGES </w:instrText>
                          </w:r>
                          <w:r>
                            <w:rPr>
                              <w:lang w:val="es"/>
                            </w:rPr>
                            <w:fldChar w:fldCharType="separate"/>
                          </w:r>
                          <w:r>
                            <w:rPr>
                              <w:lang w:val="es"/>
                            </w:rPr>
                            <w:t>2</w:t>
                          </w:r>
                          <w:r>
                            <w:rPr>
                              <w:lang w:val="es"/>
                            </w:rPr>
                            <w:fldChar w:fldCharType="end"/>
                          </w: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442.9pt;margin-top:810.9pt;height:25.45pt;width:130.9pt;mso-position-horizontal-relative:page;mso-position-vertical-relative:page;mso-wrap-distance-left:9pt;mso-wrap-distance-right:9pt;z-index:251665408;mso-width-relative:page;mso-height-relative:page;" filled="f" stroked="f" coordsize="21600,21600" wrapcoords="0 0 0 21218 21460 21218 21460 0 0 0" o:gfxdata="UEsDBAoAAAAAAIdO4kAAAAAAAAAAAAAAAAAEAAAAZHJzL1BLAwQUAAAACACHTuJA8oBHHdsAAAAO&#10;AQAADwAAAGRycy9kb3ducmV2LnhtbE2PT0+EMBDF7yZ+h2Y28eYWiAKylI0xejIxsnjwWOgsNEun&#10;SLt//PaW03qbmffy5vfK7cWM7ISz05YExOsIGFJnlaZewFfzdp8Dc16SkqMlFPCLDrbV7U0pC2XP&#10;VONp53sWQsgVUsDg/VRw7roBjXRrOyEFbW9nI31Y556rWZ5DuBl5EkUpN1JT+DDICV8G7A67oxHw&#10;/E31q/75aD/rfa2b5imi9/QgxN0qjjbAPF781QwLfkCHKjC19kjKsVFAnj8GdB+ENInDtFjihywF&#10;1i63LMmAVyX/X6P6A1BLAwQUAAAACACHTuJAwPVfyeIBAADVAwAADgAAAGRycy9lMm9Eb2MueG1s&#10;rVNNj9sgEL1X6n9A3BsnjpqurDirttFWlfol7fYHYIxjJMPQAcdOf30HbKft7mUPe0HD8HjMezPs&#10;b0fTsbNCr8GWfLNac6ashFrbU8l/Pty9ueHMB2Fr0YFVJb8oz28Pr1/tB1eoHFroaoWMSKwvBlfy&#10;NgRXZJmXrTLCr8ApS4cNoBGBtnjKahQDsZsuy9frXTYA1g5BKu8pe5wO+cyIzyGEptFSHUH2Rtkw&#10;saLqRCBJvtXO80OqtmmUDN+bxqvAupKT0pBWeoTiKq7ZYS+KEwrXajmXIJ5TwiNNRmhLj16pjiII&#10;1qN+QmW0RPDQhJUEk01CkiOkYrN+5M19K5xKWshq766m+5ejld/OP5DpmiZhx5kVhjr+oMbAPsDI&#10;bqI9g/MFoe4d4cJIaYIueR+T1fAVarom+gDJg7FBE70gdYzQZPXlanWklpFit8u3m7ecSTrb5tv8&#10;3TaSZqJYbjv04ZMCw2JQcqRWJnZx/uLDBF0g8TELd7rrUjs7+1+COGMmi0JiwZOkMFbjrK6C+kI6&#10;EKbpoL9BQQv4m7OBJqPk/lcvUHHWfbZkfRyjJcAlqJZAWElXSx44m8KPYRq33qE+tcS8STIsvCe/&#10;Gp2kxNKmKuY6qdvJjHky4zj9u0+ov7/x8A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ygEcd2wAA&#10;AA4BAAAPAAAAAAAAAAEAIAAAACIAAABkcnMvZG93bnJldi54bWxQSwECFAAUAAAACACHTuJAwPVf&#10;yeIBAADVAwAADgAAAAAAAAABACAAAAAqAQAAZHJzL2Uyb0RvYy54bWxQSwUGAAAAAAYABgBZAQAA&#10;fgUAAAAA&#10;">
              <v:fill on="f" focussize="0,0"/>
              <v:stroke on="f"/>
              <v:imagedata o:title=""/>
              <o:lock v:ext="edit" aspectratio="f"/>
              <v:textbox inset="0mm,0mm,0mm,0mm">
                <w:txbxContent>
                  <w:p w14:paraId="5BC1A5E7">
                    <w:pPr>
                      <w:pStyle w:val="23"/>
                    </w:pPr>
                    <w:r>
                      <w:rPr>
                        <w:lang w:val="es"/>
                      </w:rPr>
                      <w:t xml:space="preserve">Página </w:t>
                    </w:r>
                    <w:r>
                      <w:rPr>
                        <w:lang w:val="es"/>
                      </w:rPr>
                      <w:fldChar w:fldCharType="begin"/>
                    </w:r>
                    <w:r>
                      <w:rPr>
                        <w:lang w:val="es"/>
                      </w:rPr>
                      <w:instrText xml:space="preserve"> PAGE </w:instrText>
                    </w:r>
                    <w:r>
                      <w:rPr>
                        <w:lang w:val="es"/>
                      </w:rPr>
                      <w:fldChar w:fldCharType="separate"/>
                    </w:r>
                    <w:r>
                      <w:rPr>
                        <w:lang w:val="es"/>
                      </w:rPr>
                      <w:t>1</w:t>
                    </w:r>
                    <w:r>
                      <w:rPr>
                        <w:lang w:val="es"/>
                      </w:rPr>
                      <w:fldChar w:fldCharType="end"/>
                    </w:r>
                    <w:r>
                      <w:rPr>
                        <w:lang w:val="es"/>
                      </w:rPr>
                      <w:t xml:space="preserve"> de </w:t>
                    </w:r>
                    <w:r>
                      <w:rPr>
                        <w:lang w:val="es"/>
                      </w:rPr>
                      <w:fldChar w:fldCharType="begin"/>
                    </w:r>
                    <w:r>
                      <w:rPr>
                        <w:lang w:val="es"/>
                      </w:rPr>
                      <w:instrText xml:space="preserve"> NUMPAGES </w:instrText>
                    </w:r>
                    <w:r>
                      <w:rPr>
                        <w:lang w:val="es"/>
                      </w:rPr>
                      <w:fldChar w:fldCharType="separate"/>
                    </w:r>
                    <w:r>
                      <w:rPr>
                        <w:lang w:val="es"/>
                      </w:rPr>
                      <w:t>2</w:t>
                    </w:r>
                    <w:r>
                      <w:rPr>
                        <w:lang w:val="es"/>
                      </w:rPr>
                      <w:fldChar w:fldCharType="end"/>
                    </w:r>
                  </w:p>
                </w:txbxContent>
              </v:textbox>
              <w10:wrap type="tight"/>
            </v:shape>
          </w:pict>
        </mc:Fallback>
      </mc:AlternateContent>
    </w:r>
    <w:r>
      <w:rPr>
        <w:lang w:val="es"/>
      </w:rPr>
      <mc:AlternateContent>
        <mc:Choice Requires="wps">
          <w:drawing>
            <wp:anchor distT="0" distB="0" distL="114300" distR="114300" simplePos="0" relativeHeight="251666432" behindDoc="0" locked="0" layoutInCell="1" allowOverlap="1">
              <wp:simplePos x="0" y="0"/>
              <wp:positionH relativeFrom="column">
                <wp:posOffset>-812165</wp:posOffset>
              </wp:positionH>
              <wp:positionV relativeFrom="paragraph">
                <wp:posOffset>-208280</wp:posOffset>
              </wp:positionV>
              <wp:extent cx="831215" cy="803275"/>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pPr>
                            <w:rPr>
                              <w:color w:val="FFFFFF" w:themeColor="background1"/>
                              <w14:textFill>
                                <w14:noFill/>
                              </w14:textFill>
                            </w:rPr>
                          </w:pPr>
                          <w:r>
                            <w:rPr>
                              <w:color w:val="FFFFFF" w:themeColor="background1"/>
                              <w:lang w:val="es"/>
                              <w14:textFill>
                                <w14:noFill/>
                              </w14:textFill>
                            </w:rPr>
                            <w:drawing>
                              <wp:inline distT="0" distB="0" distL="0" distR="0">
                                <wp:extent cx="431800" cy="520700"/>
                                <wp:effectExtent l="0" t="0" r="0" b="0"/>
                                <wp:docPr id="11" name="Imagen 11" descr="Trébol verde cuatro tonalidades inspirado en el logo de plena inclusión " title="Imagen trébol ver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rébol verde cuatro tonalidades inspirado en el logo de plena inclusión " title="Imagen trébol verde "/>
                                        <pic:cNvPicPr>
                                          <a:picLocks noChangeAspect="1"/>
                                        </pic:cNvPicPr>
                                      </pic:nvPicPr>
                                      <pic:blipFill>
                                        <a:blip r:embed="rId1"/>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95pt;margin-top:-16.4pt;height:63.25pt;width:65.45pt;z-index:251666432;mso-width-relative:page;mso-height-relative:page;" filled="f" stroked="f" coordsize="21600,21600" o:gfxdata="UEsDBAoAAAAAAIdO4kAAAAAAAAAAAAAAAAAEAAAAZHJzL1BLAwQUAAAACACHTuJA04SZVtoAAAAJ&#10;AQAADwAAAGRycy9kb3ducmV2LnhtbE2Py07DMBBF90j8gzVI7FrnIWgb4lQoUoWEYNHSDbtJ7CYR&#10;9jjE7gO+nmEFuxnN0Z1zy/XFWXEyUxg8KUjnCQhDrdcDdQr2b5vZEkSISBqtJ6PgywRYV9dXJRba&#10;n2lrTrvYCQ6hUKCCPsaxkDK0vXEY5n40xLeDnxxGXqdO6gnPHO6szJLkXjociD/0OJq6N+3H7ugU&#10;PNebV9w2mVt+2/rp5fA4fu7f75S6vUmTBxDRXOIfDL/6rA4VOzX+SDoIq2CWZosVszzlGZdgJOdy&#10;jYJVvgBZlfJ/g+oHUEsDBBQAAAAIAIdO4kALak9AMgIAAG0EAAAOAAAAZHJzL2Uyb0RvYy54bWyt&#10;VE1v2zAMvQ/YfxB0X5yvtllQp8haZBhQrAXSYWdFlmsDkqhJSu3u1+9JTtKi26GHXWRKpB71Hklf&#10;XvVGsyflQ0u25JPRmDNlJVWtfSz5j4fNpwVnIQpbCU1WlfxZBX61+vjhsnNLNaWGdKU8A4gNy86V&#10;vInRLYsiyEYZEUbklIWzJm9ExNY/FpUXHdCNLqbj8XnRka+cJ6lCwOnN4OQHRP8eQKrrVqobknuj&#10;bBxQvdIiglJoWhf4Kr+2rpWMd3UdVGS65GAa84oksHdpLVaXYvnohWtaeXiCeM8T3nAyorVIeoK6&#10;EVGwvW//gjKt9BSojiNJphiIZEXAYjJ+o822EU5lLpA6uJPo4f/Byu9P9561FTrhgjMrDCp+vReV&#10;J1YpFlUficEDmToXlojeOsTH/gv1uHI8DzhM7Pvam/QFLwY/RH4+iQwoJnG4mE2mFzPOJFyL8ezs&#10;fJ5QipfLzof4VZFhySi5Rw2ztOLpNsQh9BiSclnatFrnOmrLupKfz87G+cLJA3BtkSNRGJ6arNjv&#10;+gOvHVXPoOVp6I/g5KZF8lsR4r3waAgwwcjEOyy1JiShg8VZQ/73v85TPOoEL2cdGqzk4ddeeMWZ&#10;/mZRwc+T+Tx1ZN7Mzy6m2PjXnt1rj92ba0IPTzCcTmYzxUd9NGtP5icma52ywiWsRO6Sx6N5HYe2&#10;x2RKtV7nIPSgE/HWbp1M0IOc632kus1KJ5kGbQ7qoQtzrQ4Tk9r89T5HvfwlV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04SZVtoAAAAJAQAADwAAAAAAAAABACAAAAAiAAAAZHJzL2Rvd25yZXYu&#10;eG1sUEsBAhQAFAAAAAgAh07iQAtqT0AyAgAAbQQAAA4AAAAAAAAAAQAgAAAAKQEAAGRycy9lMm9E&#10;b2MueG1sUEsFBgAAAAAGAAYAWQEAAM0FAAAAAA==&#10;">
              <v:fill on="f" focussize="0,0"/>
              <v:stroke on="f" weight="0.5pt"/>
              <v:imagedata o:title=""/>
              <o:lock v:ext="edit" aspectratio="f"/>
              <v:textbox>
                <w:txbxContent>
                  <w:p w14:paraId="25B0F7D9">
                    <w:pPr>
                      <w:rPr>
                        <w:color w:val="FFFFFF" w:themeColor="background1"/>
                        <w14:textFill>
                          <w14:noFill/>
                        </w14:textFill>
                      </w:rPr>
                    </w:pPr>
                    <w:r>
                      <w:rPr>
                        <w:color w:val="FFFFFF" w:themeColor="background1"/>
                        <w:lang w:val="es"/>
                        <w14:textFill>
                          <w14:noFill/>
                        </w14:textFill>
                      </w:rPr>
                      <w:drawing>
                        <wp:inline distT="0" distB="0" distL="0" distR="0">
                          <wp:extent cx="431800" cy="520700"/>
                          <wp:effectExtent l="0" t="0" r="0" b="0"/>
                          <wp:docPr id="11" name="Imagen 11" descr="Trébol verde cuatro tonalidades inspirado en el logo de plena inclusión " title="Imagen trébol ver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rébol verde cuatro tonalidades inspirado en el logo de plena inclusión " title="Imagen trébol verde "/>
                                  <pic:cNvPicPr>
                                    <a:picLocks noChangeAspect="1"/>
                                  </pic:cNvPicPr>
                                </pic:nvPicPr>
                                <pic:blipFill>
                                  <a:blip r:embed="rId1"/>
                                  <a:stretch>
                                    <a:fillRect/>
                                  </a:stretch>
                                </pic:blipFill>
                                <pic:spPr>
                                  <a:xfrm>
                                    <a:off x="0" y="0"/>
                                    <a:ext cx="431800" cy="520700"/>
                                  </a:xfrm>
                                  <a:prstGeom prst="rect">
                                    <a:avLst/>
                                  </a:prstGeom>
                                </pic:spPr>
                              </pic:pic>
                            </a:graphicData>
                          </a:graphic>
                        </wp:inline>
                      </w:drawing>
                    </w:r>
                  </w:p>
                </w:txbxContent>
              </v:textbox>
            </v:shape>
          </w:pict>
        </mc:Fallback>
      </mc:AlternateContent>
    </w:r>
    <w:r>
      <w:rPr>
        <w:lang w:val="es"/>
      </w:rPr>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10169525</wp:posOffset>
              </wp:positionV>
              <wp:extent cx="7611745" cy="535940"/>
              <wp:effectExtent l="0" t="0" r="0" b="0"/>
              <wp:wrapTight wrapText="bothSides">
                <wp:wrapPolygon>
                  <wp:start x="0" y="0"/>
                  <wp:lineTo x="0" y="20986"/>
                  <wp:lineTo x="21551" y="20986"/>
                  <wp:lineTo x="21551" y="0"/>
                  <wp:lineTo x="0" y="0"/>
                </wp:wrapPolygon>
              </wp:wrapTight>
              <wp:docPr id="305" name="Rectangle 2"/>
              <wp:cNvGraphicFramePr/>
              <a:graphic xmlns:a="http://schemas.openxmlformats.org/drawingml/2006/main">
                <a:graphicData uri="http://schemas.microsoft.com/office/word/2010/wordprocessingShape">
                  <wps:wsp>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anchor>
          </w:drawing>
        </mc:Choice>
        <mc:Fallback>
          <w:pict>
            <v:rect id="Rectangle 2" o:spid="_x0000_s1026" o:spt="1" style="position:absolute;left:0pt;margin-left:0pt;margin-top:800.75pt;height:42.2pt;width:599.35pt;mso-position-horizontal-relative:page;mso-position-vertical-relative:page;mso-wrap-distance-left:9pt;mso-wrap-distance-right:9pt;z-index:251661312;mso-width-relative:page;mso-height-relative:page;" fillcolor="#F2F2F2 [3052]" filled="t" stroked="f" coordsize="21600,21600" wrapcoords="0 0 0 20986 21551 20986 21551 0 0 0" o:gfxdata="UEsDBAoAAAAAAIdO4kAAAAAAAAAAAAAAAAAEAAAAZHJzL1BLAwQUAAAACACHTuJAt4vvdtoAAAAL&#10;AQAADwAAAGRycy9kb3ducmV2LnhtbE2PS0/DMBCE70j8B2uRuFHbldomIU4PPEQlHhJtpV7dZElS&#10;4nUUuw/+PZsTHHdm9O1Mvry4TpxwCK0nA3qiQCCVvmqpNrDdPN8lIEK0VNnOExr4wQDL4voqt1nl&#10;z/SJp3WsBUMoZNZAE2OfSRnKBp0NE98jsfflB2cjn0Mtq8GeGe46OVVqLp1tiT80tseHBsvv9dEZ&#10;UJuP1WH6eqCXUj/t9PsqfXxbRGNub7S6BxHxEv/CMNbn6lBwp70/UhVExwzOsTpXegZi9HWaLEDs&#10;Ry2ZpSCLXP7fUPwCUEsDBBQAAAAIAIdO4kAMgvmGCgIAACsEAAAOAAAAZHJzL2Uyb0RvYy54bWyt&#10;U9tu2zAMfR+wfxD0vthOk3YJ4hRDgwwDtrVYtw9QZNkWoNsoOU729aOkJMu6lz4MBgySog55DqnV&#10;/UErshfgpTU1rSYlJcJw20jT1fTH9+2795T4wEzDlDWipkfh6f367ZvV6JZianurGgEEQYxfjq6m&#10;fQhuWRSe90IzP7FOGDxsLWgW0IWuaICNiK5VMS3L22K00DiwXHiP0U0+pCdEeA2gbVvJxcbyQQsT&#10;MioIxQJS8r10nq5Tt20reHhsWy8CUTVFpiH9sQjau/gv1iu27IC5XvJTC+w1LbzgpJk0WPQCtWGB&#10;kQHkP1BacrDetmHCrS4ykaQIsqjKF9o898yJxAWl9u4iuv9/sPzr/gmIbGp6U84pMUzjyL+hbMx0&#10;SpBpFGh0fol5z+4JTp5Hk+zGL7bBbDYEm7gfWtBRA2RFDkni40VicQiEY/DutqruZliJ49n8Zr6Y&#10;pRkUbHm+7cCHj8JqEo2aAvaS0Nn+sw9YH1PPKbGYt0o2W6lUcqDbPSgge4bj3k7jl+6qQWOvObyY&#10;l+W5ps/5CfQvIGUinLERONfMEZFW6tRI1CUqkRXa2eaIqoDNO4YvDI3ewi9KRtyvmvqfAwNBifpk&#10;cICLaobUSbh24NrZXTvMcISqaaAkmw8hL/HgQHY9VqoSUWM/4DRamYSK/eWukGB0cIcS1dO+xyW9&#10;9lPWnze+/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3i+922gAAAAsBAAAPAAAAAAAAAAEAIAAA&#10;ACIAAABkcnMvZG93bnJldi54bWxQSwECFAAUAAAACACHTuJADIL5hgoCAAArBAAADgAAAAAAAAAB&#10;ACAAAAApAQAAZHJzL2Uyb0RvYy54bWxQSwUGAAAAAAYABgBZAQAApQUAAAAA&#10;">
              <v:fill on="t" focussize="0,0"/>
              <v:stroke on="f"/>
              <v:imagedata o:title=""/>
              <o:lock v:ext="edit" aspectratio="f"/>
              <v:textbox inset="2.54mm,2.54mm,2.54mm,2.54mm"/>
              <w10:wrap type="tight"/>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3A7F">
    <w:pPr>
      <w:tabs>
        <w:tab w:val="left" w:pos="742"/>
      </w:tabs>
    </w:pPr>
    <w:r>
      <w:rPr>
        <w:lang w:val="es"/>
      </w:rPr>
      <mc:AlternateContent>
        <mc:Choice Requires="wps">
          <w:drawing>
            <wp:anchor distT="0" distB="0" distL="114300" distR="114300" simplePos="0" relativeHeight="251660288" behindDoc="1" locked="0" layoutInCell="1" allowOverlap="1">
              <wp:simplePos x="0" y="0"/>
              <wp:positionH relativeFrom="page">
                <wp:posOffset>2571750</wp:posOffset>
              </wp:positionH>
              <wp:positionV relativeFrom="page">
                <wp:posOffset>552450</wp:posOffset>
              </wp:positionV>
              <wp:extent cx="2590800" cy="483870"/>
              <wp:effectExtent l="0" t="0" r="0" b="11430"/>
              <wp:wrapTight wrapText="bothSides">
                <wp:wrapPolygon>
                  <wp:start x="0" y="0"/>
                  <wp:lineTo x="0" y="21260"/>
                  <wp:lineTo x="21441" y="21260"/>
                  <wp:lineTo x="21441" y="0"/>
                  <wp:lineTo x="0" y="0"/>
                </wp:wrapPolygon>
              </wp:wrapTight>
              <wp:docPr id="307" name="Text Box 4"/>
              <wp:cNvGraphicFramePr/>
              <a:graphic xmlns:a="http://schemas.openxmlformats.org/drawingml/2006/main">
                <a:graphicData uri="http://schemas.microsoft.com/office/word/2010/wordprocessingShape">
                  <wps:wsp>
                    <wps:cNvSpPr txBox="1"/>
                    <wps:spPr bwMode="auto">
                      <a:xfrm>
                        <a:off x="0" y="0"/>
                        <a:ext cx="2590800" cy="483870"/>
                      </a:xfrm>
                      <a:prstGeom prst="rect">
                        <a:avLst/>
                      </a:prstGeom>
                      <a:noFill/>
                      <a:ln>
                        <a:noFill/>
                      </a:ln>
                    </wps:spPr>
                    <wps:txbx>
                      <w:txbxContent>
                        <w:p w14:paraId="043237FC">
                          <w:pPr>
                            <w:rPr>
                              <w:rFonts w:cs="Arial"/>
                              <w:color w:val="0D0D0D"/>
                              <w:sz w:val="20"/>
                              <w:szCs w:val="20"/>
                            </w:rPr>
                          </w:pPr>
                          <w:r>
                            <w:drawing>
                              <wp:inline distT="0" distB="0" distL="0" distR="0">
                                <wp:extent cx="2533650" cy="516255"/>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a:picLocks noChangeAspect="1"/>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202.5pt;margin-top:43.5pt;height:38.1pt;width:204pt;mso-position-horizontal-relative:page;mso-position-vertical-relative:page;mso-wrap-distance-left:9pt;mso-wrap-distance-right:9pt;z-index:-251656192;mso-width-relative:page;mso-height-relative:page;" filled="f" stroked="f" coordsize="21600,21600" wrapcoords="0 0 0 21260 21441 21260 21441 0 0 0" o:gfxdata="UEsDBAoAAAAAAIdO4kAAAAAAAAAAAAAAAAAEAAAAZHJzL1BLAwQUAAAACACHTuJAP41do9kAAAAK&#10;AQAADwAAAGRycy9kb3ducmV2LnhtbE2PzU7DMBCE70i8g7VI3KidFkIIcSqE4ISEmoYDRyfeJlHj&#10;dYjdH96e5QSn3dWMZr8p1mc3iiPOYfCkIVkoEEittwN1Gj7q15sMRIiGrBk9oYZvDLAuLy8Kk1t/&#10;ogqP29gJDqGQGw19jFMuZWh7dCYs/ITE2s7PzkQ+507a2Zw43I1yqVQqnRmIP/Rmwuce2/324DQ8&#10;fVL1Mny9N5tqVw11/aDoLd1rfX2VqEcQEc/xzwy/+IwOJTM1/kA2iFHDrbrjLlFDds+TDVmy4qVh&#10;Z7pagiwL+b9C+QNQSwMEFAAAAAgAh07iQED/zIjlAQAA1gMAAA4AAABkcnMvZTJvRG9jLnhtbK1T&#10;wY7TMBC9I/EPlu80aXdhS9R0BVSLkGBB2uUDHMdpLMUeM3aalK9n7CQFlsseuFjj8fj5vTfj3e1o&#10;OnZS6DXYkq9XOWfKSqi1PZb8++Pdqy1nPghbiw6sKvlZeX67f/liN7hCbaCFrlbICMT6YnAlb0Nw&#10;RZZ52Soj/AqcsnTYABoRaIvHrEYxELrpsk2ev8kGwNohSOU9ZQ/TIZ8R8TmA0DRaqgPI3igbJlRU&#10;nQgkybfaeb5PbJtGyfC1abwKrCs5KQ1ppUcoruKa7XeiOKJwrZYzBfEcCk80GaEtPXqBOoggWI/6&#10;HyijJYKHJqwkmGwSkhwhFev8iTcPrXAqaSGrvbuY7v8frLw/fUOm65Jf5TecWWGo5Y9qDOw9jOw6&#10;+jM4X1DZg6PCMFKapmbJ+5ishi9Q0zXRB0gmjA2aaAbJY1RNXp8vXkdoScnN67f5NqcjSWfX26vt&#10;TWpGJorltkMfPiowLAYlR+plQhenzz4QLypdSuJjFu5016V+dvavBBXGTBaFRMKTpDBW46yugvpM&#10;OhCm8aDPQUEL+JOzgUaj5P5HL1Bx1n2y5H2coyXAJaiWQFhJV0seOJvCD2Gat96hPraEvE4yLLwj&#10;vxqdpERqE4uZJ7U7KZxHM87Tn/tU9fs77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41do9kA&#10;AAAKAQAADwAAAAAAAAABACAAAAAiAAAAZHJzL2Rvd25yZXYueG1sUEsBAhQAFAAAAAgAh07iQED/&#10;zIjlAQAA1gMAAA4AAAAAAAAAAQAgAAAAKAEAAGRycy9lMm9Eb2MueG1sUEsFBgAAAAAGAAYAWQEA&#10;AH8FAAAAAA==&#10;">
              <v:fill on="f" focussize="0,0"/>
              <v:stroke on="f"/>
              <v:imagedata o:title=""/>
              <o:lock v:ext="edit" aspectratio="f"/>
              <v:textbox inset="0mm,0mm,0mm,0mm">
                <w:txbxContent>
                  <w:p w14:paraId="043237FC">
                    <w:pPr>
                      <w:rPr>
                        <w:rFonts w:cs="Arial"/>
                        <w:color w:val="0D0D0D"/>
                        <w:sz w:val="20"/>
                        <w:szCs w:val="20"/>
                      </w:rPr>
                    </w:pPr>
                    <w:r>
                      <w:drawing>
                        <wp:inline distT="0" distB="0" distL="0" distR="0">
                          <wp:extent cx="2533650" cy="516255"/>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a:picLocks noChangeAspect="1"/>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v:shape>
          </w:pict>
        </mc:Fallback>
      </mc:AlternateContent>
    </w:r>
    <w:r>
      <w:rPr>
        <w:lang w:val="es"/>
      </w:rPr>
      <mc:AlternateContent>
        <mc:Choice Requires="wps">
          <w:drawing>
            <wp:anchor distT="0" distB="0" distL="114300" distR="114300" simplePos="0" relativeHeight="251663360" behindDoc="0" locked="0" layoutInCell="1" allowOverlap="1">
              <wp:simplePos x="0" y="0"/>
              <wp:positionH relativeFrom="page">
                <wp:posOffset>50800</wp:posOffset>
              </wp:positionH>
              <wp:positionV relativeFrom="page">
                <wp:posOffset>260350</wp:posOffset>
              </wp:positionV>
              <wp:extent cx="5470525" cy="535305"/>
              <wp:effectExtent l="0" t="0" r="15875" b="17145"/>
              <wp:wrapTight wrapText="bothSides">
                <wp:wrapPolygon>
                  <wp:start x="0" y="0"/>
                  <wp:lineTo x="0" y="21523"/>
                  <wp:lineTo x="21587" y="21523"/>
                  <wp:lineTo x="21587" y="0"/>
                  <wp:lineTo x="0" y="0"/>
                </wp:wrapPolygon>
              </wp:wrapTight>
              <wp:docPr id="2" name="Text Box 4"/>
              <wp:cNvGraphicFramePr/>
              <a:graphic xmlns:a="http://schemas.openxmlformats.org/drawingml/2006/main">
                <a:graphicData uri="http://schemas.microsoft.com/office/word/2010/wordprocessingShape">
                  <wps:wsp>
                    <wps:cNvSpPr txBox="1"/>
                    <wps:spPr bwMode="auto">
                      <a:xfrm>
                        <a:off x="0" y="0"/>
                        <a:ext cx="5470525" cy="535305"/>
                      </a:xfrm>
                      <a:prstGeom prst="rect">
                        <a:avLst/>
                      </a:prstGeom>
                      <a:noFill/>
                      <a:ln>
                        <a:noFill/>
                      </a:ln>
                    </wps:spPr>
                    <wps:txbx>
                      <w:txbxContent>
                        <w:p w14:paraId="2872B467">
                          <w:pPr>
                            <w:rPr>
                              <w:b/>
                              <w:bCs/>
                              <w:sz w:val="22"/>
                              <w:szCs w:val="20"/>
                            </w:rPr>
                          </w:pPr>
                          <w:r>
                            <w:rPr>
                              <w:b/>
                              <w:bCs/>
                              <w:sz w:val="22"/>
                              <w:szCs w:val="20"/>
                            </w:rPr>
                            <w:t xml:space="preserve">Formulario para la presentación de una buena práctica al Encuentro Estatal de Plena inclusión 2025  </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pt;margin-top:20.5pt;height:42.15pt;width:430.75pt;mso-position-horizontal-relative:page;mso-position-vertical-relative:page;mso-wrap-distance-left:9pt;mso-wrap-distance-right:9pt;z-index:251663360;mso-width-relative:page;mso-height-relative:page;" filled="f" stroked="f" coordsize="21600,21600" wrapcoords="0 0 0 21523 21587 21523 21587 0 0 0" o:gfxdata="UEsDBAoAAAAAAIdO4kAAAAAAAAAAAAAAAAAEAAAAZHJzL1BLAwQUAAAACACHTuJARpVQeNgAAAAI&#10;AQAADwAAAGRycy9kb3ducmV2LnhtbE2PzU7DMBCE70i8g7VI3KidQqM0xKkQghMSIg0Hjk68TaLG&#10;6xC7P7w9y6mcVqMZzX5TbM5uFEecw+BJQ7JQIJBabwfqNHzWr3cZiBANWTN6Qg0/GGBTXl8VJrf+&#10;RBUet7ETXEIhNxr6GKdcytD26ExY+AmJvZ2fnYks507a2Zy43I1yqVQqnRmIP/Rmwuce2/324DQ8&#10;fVH1Mny/Nx/Vrhrqeq3oLd1rfXuTqEcQEc/xEoY/fEaHkpkafyAbxKgh4yVRw0PCl+0sXa9ANJxb&#10;ru5BloX8P6D8BVBLAwQUAAAACACHTuJAIBEL5eMBAADUAwAADgAAAGRycy9lMm9Eb2MueG1srVPB&#10;jtMwEL0j8Q+W7zRpdwMoaroCqkVIwCLt8gGO4zSWYo8Zu03K1zN2ksLuXvbAxRo/j5/nvRlvb0bT&#10;s5NCr8FWfL3KOVNWQqPtoeI/H27fvOfMB2Eb0YNVFT8rz292r19tB1eqDXTQNwoZkVhfDq7iXQiu&#10;zDIvO2WEX4FTlg5bQCMCbfGQNSgGYjd9tsnzt9kA2DgEqbwndD8d8pkRX0IIbaul2oM8GmXDxIqq&#10;F4Ek+U47z3ep2rZVMty1rVeB9RUnpSGt9AjFdVyz3VaUBxSu03IuQbykhCeajNCWHr1Q7UUQ7Ij6&#10;GZXREsFDG1YSTDYJSY6QinX+xJv7TjiVtJDV3l1M9/+PVn4//UCmm4pvOLPCUMMf1BjYRxjZdXRn&#10;cL6kpHtHaWEkmGZmwX0E6+EbNHRNHAMkC8YWTbSCxDHKJqfPF6cjtSSwuH6XF5uCM0lnxVVxlReR&#10;NBPlctuhD58VGBaDiiN1MrGL01cfptQlJT5m4Vb3fepmbx8BxBmRLAqJBU+SwliPs7oamjPpQJiG&#10;g74GBR3gb84GGoyK+19HgYqz/osl5+MULQEuQb0Ewkq6WvHA2RR+CtO0HR3qQ0fM6yTDwgfyq9VJ&#10;SixtqmKuk5qdzJgHM07Tv/uU9fcz7v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pVQeNgAAAAI&#10;AQAADwAAAAAAAAABACAAAAAiAAAAZHJzL2Rvd25yZXYueG1sUEsBAhQAFAAAAAgAh07iQCARC+Xj&#10;AQAA1AMAAA4AAAAAAAAAAQAgAAAAJwEAAGRycy9lMm9Eb2MueG1sUEsFBgAAAAAGAAYAWQEAAHwF&#10;AAAAAA==&#10;">
              <v:fill on="f" focussize="0,0"/>
              <v:stroke on="f"/>
              <v:imagedata o:title=""/>
              <o:lock v:ext="edit" aspectratio="f"/>
              <v:textbox inset="0mm,0mm,0mm,0mm">
                <w:txbxContent>
                  <w:p w14:paraId="2872B467">
                    <w:pPr>
                      <w:rPr>
                        <w:b/>
                        <w:bCs/>
                        <w:sz w:val="22"/>
                        <w:szCs w:val="20"/>
                      </w:rPr>
                    </w:pPr>
                    <w:r>
                      <w:rPr>
                        <w:b/>
                        <w:bCs/>
                        <w:sz w:val="22"/>
                        <w:szCs w:val="20"/>
                      </w:rPr>
                      <w:t xml:space="preserve">Formulario para la presentación de una buena práctica al Encuentro Estatal de Plena inclusión 2025  </w:t>
                    </w:r>
                  </w:p>
                </w:txbxContent>
              </v:textbox>
              <w10:wrap type="tight"/>
            </v:shape>
          </w:pict>
        </mc:Fallback>
      </mc:AlternateContent>
    </w:r>
    <w:r>
      <w:rPr>
        <w:lang w:val="es"/>
      </w:rPr>
      <mc:AlternateContent>
        <mc:Choice Requires="wps">
          <w:drawing>
            <wp:anchor distT="0" distB="0" distL="114300" distR="114300" simplePos="0" relativeHeight="251659264" behindDoc="0" locked="0" layoutInCell="1" allowOverlap="1">
              <wp:simplePos x="0" y="0"/>
              <wp:positionH relativeFrom="column">
                <wp:posOffset>-720090</wp:posOffset>
              </wp:positionH>
              <wp:positionV relativeFrom="paragraph">
                <wp:posOffset>8890</wp:posOffset>
              </wp:positionV>
              <wp:extent cx="7611745" cy="1172845"/>
              <wp:effectExtent l="0" t="0" r="0" b="0"/>
              <wp:wrapNone/>
              <wp:docPr id="15" name="Rectángulo 15" descr="Logotipo Plena inclusión blanco" title="Logotipo Plena inclusión blanco"/>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alt="Logotipo Plena inclusión blanco" style="position:absolute;left:0pt;margin-left:-56.7pt;margin-top:0.7pt;height:92.35pt;width:599.35pt;z-index:251659264;v-text-anchor:middle;mso-width-relative:page;mso-height-relative:page;" fillcolor="#81C063" filled="t" stroked="f" coordsize="21600,21600" o:gfxdata="UEsDBAoAAAAAAIdO4kAAAAAAAAAAAAAAAAAEAAAAZHJzL1BLAwQUAAAACACHTuJA7q1/ndgAAAAL&#10;AQAADwAAAGRycy9kb3ducmV2LnhtbE2PzU7DMBCE70i8g7VI3FrbSVpFIU5VFegZChJXNzZJVHsd&#10;xe4PPH23JzjtrmY0+029unjHTnaKQ0AFci6AWWyDGbBT8PnxOiuBxaTRaBfQKvixEVbN/V2tKxPO&#10;+G5Pu9QxCsFYaQV9SmPFeWx763Wch9Eiad9h8jrROXXcTPpM4d7xTIgl93pA+tDr0W562x52R69g&#10;/HKFGPJss866t2Lx/OvXL4etUo8PUjwBS/aS/sxwwyd0aIhpH45oInMKZlLmBXlJoXEziHKRA9vT&#10;Vi4l8Kbm/zs0V1BLAwQUAAAACACHTuJAWvGS8I4CAAAlBQAADgAAAGRycy9lMm9Eb2MueG1srVRL&#10;btswEN0X6B0I7htJjvMzYgeGjRQFjMZoWnRNU5REgL+S9Ce9Tc/QI+RifaSUT9MCzaJe0DOc0byZ&#10;NzO8vDpoRXbCB2nNlFZHJSXCcFtL007pl8/X784pCZGZmilrxJTeiUCvZm/fXO7dRIxsZ1UtPEEQ&#10;EyZ7N6VdjG5SFIF3QrNwZJ0wMDbWaxah+raoPdsjulbFqCxPi731tfOWixBwu+yNdIjoXxPQNo3k&#10;Ymn5VgsT+6heKBZRUuikC3SWs20aweNN0wQRiZpSVBrzCRDIm3QWs0s2aT1zneRDCuw1KbyoSTNp&#10;APoYaskiI1sv/wilJfc22CYecauLvpDMCKqoyhfc3HbMiVwLqA7ukfTw/8Lyj7u1J7LGJJxQYphG&#10;xz+Btfsfpt0qS9JtLQIHZSvb2iidJWslDCPScLUN8v6nIRvFMEFgV0aF7//pCNL3LkyAfevWftAC&#10;xMTgofE6/YMbcsiNuntslDhEwnF5dlpVZ2OkxmGDeFxWF6mVxdPnzof4XlhNkjClHjXlBrHdKsTe&#10;9cEloQWrZH0tlcqKbzcL5cmOYWrOq0V5ejxE/81NGbIH/OisxDRxhl1oMIMQtQOfwbSUMNViyXj0&#10;GdvYhABwNknYSxa6HiOH7WdRy4j1UlIDuUy/AVkZlJdY63lK0sbWd2iet/1UB8evJcKuWIhr5jHG&#10;SAuLHm9wNMoiVztIlHTWf//bffLHdMFKyR5rgTq+bZkXlKgPBnN3UY3HaY+yMj45G0Hxzy2b5xaz&#10;1QsLDis8KY5nMflH9SA23uqveA/mCRUmzBGwe8YGZRH7dcWLwsV8nt2wO47Flbl1PAVPhBo730bb&#10;yNzbJ3YG0rA9eTqGTU/r+VzPXk+v2+w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7q1/ndgAAAAL&#10;AQAADwAAAAAAAAABACAAAAAiAAAAZHJzL2Rvd25yZXYueG1sUEsBAhQAFAAAAAgAh07iQFrxkvCO&#10;AgAAJQUAAA4AAAAAAAAAAQAgAAAAJwEAAGRycy9lMm9Eb2MueG1sUEsFBgAAAAAGAAYAWQEAACcG&#10;AAAAAA==&#10;">
              <v:fill on="t" focussize="0,0"/>
              <v:stroke on="f" weight="1pt" miterlimit="8" joinstyle="miter"/>
              <v:imagedata o:title=""/>
              <o:lock v:ext="edit" aspectratio="f"/>
            </v:rect>
          </w:pict>
        </mc:Fallback>
      </mc:AlternateContent>
    </w:r>
    <w:r>
      <w:rPr>
        <w:lang w:val="es"/>
      </w:rPr>
      <mc:AlternateContent>
        <mc:Choice Requires="wps">
          <w:drawing>
            <wp:anchor distT="0" distB="0" distL="114300" distR="114300" simplePos="0" relativeHeight="251664384" behindDoc="0" locked="0" layoutInCell="1" allowOverlap="1">
              <wp:simplePos x="0" y="0"/>
              <wp:positionH relativeFrom="page">
                <wp:posOffset>5688965</wp:posOffset>
              </wp:positionH>
              <wp:positionV relativeFrom="page">
                <wp:posOffset>405130</wp:posOffset>
              </wp:positionV>
              <wp:extent cx="1699260" cy="535305"/>
              <wp:effectExtent l="0" t="0" r="0" b="0"/>
              <wp:wrapTight wrapText="bothSides">
                <wp:wrapPolygon>
                  <wp:start x="0" y="0"/>
                  <wp:lineTo x="0" y="21523"/>
                  <wp:lineTo x="21479" y="21523"/>
                  <wp:lineTo x="21479" y="0"/>
                  <wp:lineTo x="0" y="0"/>
                </wp:wrapPolygon>
              </wp:wrapTight>
              <wp:docPr id="5" name="Text Box 4"/>
              <wp:cNvGraphicFramePr/>
              <a:graphic xmlns:a="http://schemas.openxmlformats.org/drawingml/2006/main">
                <a:graphicData uri="http://schemas.microsoft.com/office/word/2010/wordprocessingShape">
                  <wps:wsp>
                    <wps:cNvSpPr txBox="1"/>
                    <wps:spPr bwMode="auto">
                      <a:xfrm>
                        <a:off x="0" y="0"/>
                        <a:ext cx="1698971" cy="535305"/>
                      </a:xfrm>
                      <a:prstGeom prst="rect">
                        <a:avLst/>
                      </a:prstGeom>
                      <a:noFill/>
                      <a:ln>
                        <a:noFill/>
                      </a:ln>
                    </wps:spPr>
                    <wps:txbx>
                      <w:txbxContent>
                        <w:p w14:paraId="4F441E65">
                          <w:r>
                            <w:rPr>
                              <w:color w:val="FFFFFF"/>
                              <w:lang w:val="es"/>
                            </w:rPr>
                            <w:drawing>
                              <wp:inline distT="0" distB="0" distL="0" distR="0">
                                <wp:extent cx="1123315" cy="387350"/>
                                <wp:effectExtent l="0" t="0" r="0" b="0"/>
                                <wp:docPr id="10" name="Imagen 28" descr="Logo Plena Inclusión blanco " title="Logo Plena Inclusión blanco "/>
                                <wp:cNvGraphicFramePr/>
                                <a:graphic xmlns:a="http://schemas.openxmlformats.org/drawingml/2006/main">
                                  <a:graphicData uri="http://schemas.openxmlformats.org/drawingml/2006/picture">
                                    <pic:pic xmlns:pic="http://schemas.openxmlformats.org/drawingml/2006/picture">
                                      <pic:nvPicPr>
                                        <pic:cNvPr id="10" name="Imagen 28" descr="Logo Plena Inclusión blanco " title="Logo Plena Inclusión blanco "/>
                                        <pic:cNvPicPr/>
                                      </pic:nvPicPr>
                                      <pic:blipFill>
                                        <a:blip r:embed="rId2">
                                          <a:extLst>
                                            <a:ext uri="{28A0092B-C50C-407E-A947-70E740481C1C}">
                                              <a14:useLocalDpi xmlns:a14="http://schemas.microsoft.com/office/drawing/2010/main" val="0"/>
                                            </a:ext>
                                          </a:extLst>
                                        </a:blip>
                                        <a:srcRect/>
                                        <a:stretch>
                                          <a:fillRect/>
                                        </a:stretch>
                                      </pic:blipFill>
                                      <pic:spPr>
                                        <a:xfrm>
                                          <a:off x="0" y="0"/>
                                          <a:ext cx="1123333" cy="387927"/>
                                        </a:xfrm>
                                        <a:prstGeom prst="rect">
                                          <a:avLst/>
                                        </a:prstGeom>
                                        <a:noFill/>
                                        <a:ln>
                                          <a:noFill/>
                                        </a:ln>
                                      </pic:spPr>
                                    </pic:pic>
                                  </a:graphicData>
                                </a:graphic>
                              </wp:inline>
                            </w:drawing>
                          </w:r>
                        </w:p>
                        <w:p w14:paraId="034EF99D"/>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47.95pt;margin-top:31.9pt;height:42.15pt;width:133.8pt;mso-position-horizontal-relative:page;mso-position-vertical-relative:page;mso-wrap-distance-left:9pt;mso-wrap-distance-right:9pt;z-index:251664384;mso-width-relative:page;mso-height-relative:page;" filled="f" stroked="f" coordsize="21600,21600" wrapcoords="0 0 0 21523 21479 21523 21479 0 0 0" o:gfxdata="UEsDBAoAAAAAAIdO4kAAAAAAAAAAAAAAAAAEAAAAZHJzL1BLAwQUAAAACACHTuJATyEiFdoAAAAL&#10;AQAADwAAAGRycy9kb3ducmV2LnhtbE2Py07DMBBF90j8gzWV2FE7lEZJGqdCCFZIiDQsWDrxNLEa&#10;j0PsPvh73BXsZjRHd84ttxc7shPO3jiSkCwFMKTOaUO9hM/m9T4D5oMirUZHKOEHPWyr25tSFdqd&#10;qcbTLvQshpAvlIQhhKng3HcDWuWXbkKKt72brQpxnXuuZ3WO4XbkD0Kk3CpD8cOgJnwesDvsjlbC&#10;0xfVL+b7vf2o97VpmlzQW3qQ8m6RiA2wgJfwB8NVP6pDFZ1adyTt2Sghy9d5RCWkq1jhCiTpag2s&#10;jdNjlgCvSv6/Q/ULUEsDBBQAAAAIAIdO4kD5eWEt4wEAANQDAAAOAAAAZHJzL2Uyb0RvYy54bWyt&#10;U01v3CAQvVfqf0Dcu/Ym3TSx1hu1XaWq1C8p6Q/AGK+RDEMHvPb213fA9jZJLzn0goZheMx789je&#10;jqZjR4Vegy35epVzpqyEWttDyX8+3L255swHYWvRgVUlPynPb3evX20HV6gLaKGrFTICsb4YXMnb&#10;EFyRZV62ygi/AqcsHTaARgTa4iGrUQyEbrrsIs+vsgGwdghSeU/Z/XTIZ0R8CSA0jZZqD7I3yoYJ&#10;FVUnAlHyrXae71K3TaNk+N40XgXWlZyYhrTSIxRXcc12W1EcULhWy7kF8ZIWnnEyQlt69Ay1F0Gw&#10;HvU/UEZLBA9NWEkw2UQkKUIs1vkzbe5b4VTiQlJ7dxbd/z9Y+e34A5muS77hzApDA39QY2AfYGRv&#10;ozqD8wUV3TsqCyOlyTNL3sdkNXyFmq6JPkCSYGzQRCmIHKNqUvp0VjpCywhxdXN9827NmaSzzeXm&#10;Mt9E0EwUy22HPnxSYFgMSo40yYQujl98mEqXkviYhTvddWmanX2SIMyYySKR2PBEKYzVOLOroD4R&#10;D4TJHPQ1KGgBf3M2kDFK7n/1AhVn3WdLykcXLQEuQbUEwkq6WvLA2RR+DJPbeof60BLyOtGw8J70&#10;anSiElubupj7pGEnMWZjRjc93qeqv59x9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PISIV2gAA&#10;AAsBAAAPAAAAAAAAAAEAIAAAACIAAABkcnMvZG93bnJldi54bWxQSwECFAAUAAAACACHTuJA+Xlh&#10;LeMBAADUAwAADgAAAAAAAAABACAAAAApAQAAZHJzL2Uyb0RvYy54bWxQSwUGAAAAAAYABgBZAQAA&#10;fgUAAAAA&#10;">
              <v:fill on="f" focussize="0,0"/>
              <v:stroke on="f"/>
              <v:imagedata o:title=""/>
              <o:lock v:ext="edit" aspectratio="f"/>
              <v:textbox inset="0mm,0mm,0mm,0mm">
                <w:txbxContent>
                  <w:p w14:paraId="4F441E65">
                    <w:r>
                      <w:rPr>
                        <w:color w:val="FFFFFF"/>
                        <w:lang w:val="es"/>
                      </w:rPr>
                      <w:drawing>
                        <wp:inline distT="0" distB="0" distL="0" distR="0">
                          <wp:extent cx="1123315" cy="387350"/>
                          <wp:effectExtent l="0" t="0" r="0" b="0"/>
                          <wp:docPr id="10" name="Imagen 28" descr="Logo Plena Inclusión blanco " title="Logo Plena Inclusión blanco "/>
                          <wp:cNvGraphicFramePr/>
                          <a:graphic xmlns:a="http://schemas.openxmlformats.org/drawingml/2006/main">
                            <a:graphicData uri="http://schemas.openxmlformats.org/drawingml/2006/picture">
                              <pic:pic xmlns:pic="http://schemas.openxmlformats.org/drawingml/2006/picture">
                                <pic:nvPicPr>
                                  <pic:cNvPr id="10" name="Imagen 28" descr="Logo Plena Inclusión blanco " title="Logo Plena Inclusión blanco "/>
                                  <pic:cNvPicPr/>
                                </pic:nvPicPr>
                                <pic:blipFill>
                                  <a:blip r:embed="rId2">
                                    <a:extLst>
                                      <a:ext uri="{28A0092B-C50C-407E-A947-70E740481C1C}">
                                        <a14:useLocalDpi xmlns:a14="http://schemas.microsoft.com/office/drawing/2010/main" val="0"/>
                                      </a:ext>
                                    </a:extLst>
                                  </a:blip>
                                  <a:srcRect/>
                                  <a:stretch>
                                    <a:fillRect/>
                                  </a:stretch>
                                </pic:blipFill>
                                <pic:spPr>
                                  <a:xfrm>
                                    <a:off x="0" y="0"/>
                                    <a:ext cx="1123333" cy="387927"/>
                                  </a:xfrm>
                                  <a:prstGeom prst="rect">
                                    <a:avLst/>
                                  </a:prstGeom>
                                  <a:noFill/>
                                  <a:ln>
                                    <a:noFill/>
                                  </a:ln>
                                </pic:spPr>
                              </pic:pic>
                            </a:graphicData>
                          </a:graphic>
                        </wp:inline>
                      </w:drawing>
                    </w:r>
                  </w:p>
                  <w:p w14:paraId="034EF99D"/>
                </w:txbxContent>
              </v:textbox>
              <w10:wrap type="tight"/>
            </v:shape>
          </w:pict>
        </mc:Fallback>
      </mc:AlternateContent>
    </w:r>
    <w:r>
      <w:rPr>
        <w:lang w:val="es"/>
      </w:rPr>
      <mc:AlternateContent>
        <mc:Choice Requires="wps">
          <w:drawing>
            <wp:anchor distT="0" distB="0" distL="114300" distR="114300" simplePos="0" relativeHeight="251662336" behindDoc="0" locked="0" layoutInCell="1" allowOverlap="1">
              <wp:simplePos x="0" y="0"/>
              <wp:positionH relativeFrom="page">
                <wp:posOffset>6116955</wp:posOffset>
              </wp:positionH>
              <wp:positionV relativeFrom="page">
                <wp:posOffset>297815</wp:posOffset>
              </wp:positionV>
              <wp:extent cx="960755" cy="274955"/>
              <wp:effectExtent l="0" t="0" r="0" b="0"/>
              <wp:wrapTight wrapText="bothSides">
                <wp:wrapPolygon>
                  <wp:start x="0" y="0"/>
                  <wp:lineTo x="0" y="20952"/>
                  <wp:lineTo x="21414" y="20952"/>
                  <wp:lineTo x="21414" y="0"/>
                  <wp:lineTo x="0" y="0"/>
                </wp:wrapPolygon>
              </wp:wrapTight>
              <wp:docPr id="21" name="Text Box 4"/>
              <wp:cNvGraphicFramePr/>
              <a:graphic xmlns:a="http://schemas.openxmlformats.org/drawingml/2006/main">
                <a:graphicData uri="http://schemas.microsoft.com/office/word/2010/wordprocessingShape">
                  <wps:wsp>
                    <wps:cNvSpPr txBox="1"/>
                    <wps:spPr bwMode="auto">
                      <a:xfrm>
                        <a:off x="0" y="0"/>
                        <a:ext cx="960755" cy="274955"/>
                      </a:xfrm>
                      <a:prstGeom prst="rect">
                        <a:avLst/>
                      </a:prstGeom>
                      <a:noFill/>
                      <a:ln>
                        <a:noFill/>
                      </a:ln>
                    </wps:spPr>
                    <wps:txbx>
                      <w:txbxContent>
                        <w:p w14:paraId="62D531B1">
                          <w:pPr>
                            <w:jc w:val="right"/>
                            <w:rPr>
                              <w:b/>
                              <w:bCs/>
                              <w:color w:val="FFFFFF"/>
                              <w:szCs w:val="28"/>
                            </w:rPr>
                          </w:pP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81.65pt;margin-top:23.45pt;height:21.65pt;width:75.65pt;mso-position-horizontal-relative:page;mso-position-vertical-relative:page;mso-wrap-distance-left:9pt;mso-wrap-distance-right:9pt;z-index:251662336;mso-width-relative:page;mso-height-relative:page;" filled="f" stroked="f" coordsize="21600,21600" wrapcoords="0 0 0 20952 21414 20952 21414 0 0 0" o:gfxdata="UEsDBAoAAAAAAIdO4kAAAAAAAAAAAAAAAAAEAAAAZHJzL1BLAwQUAAAACACHTuJAoL46OdgAAAAK&#10;AQAADwAAAGRycy9kb3ducmV2LnhtbE2Py07DMBBF90j8gzVI7KidtrJIiFMhBCskRBoWLJ14mliN&#10;xyF2H/w97oouR/fo3jPl5uxGdsQ5WE8KsoUAhtR5Y6lX8NW8PTwCC1GT0aMnVPCLATbV7U2pC+NP&#10;VONxG3uWSigUWsEQ41RwHroBnQ4LPyGlbOdnp2M6556bWZ9SuRv5UgjJnbaUFgY94cuA3X57cAqe&#10;v6l+tT8f7We9q23T5ILe5V6p+7tMPAGLeI7/MFz0kzpUyan1BzKBjQpyuVolVMFa5sAuQJatJbA2&#10;RWIJvCr59QvVH1BLAwQUAAAACACHTuJAg99UL+MBAADUAwAADgAAAGRycy9lMm9Eb2MueG1srVNN&#10;b9QwEL0j8R8s39lkV/2g0WYrYFWEBBSp7Q9wHGdjKfaYsbPJ8usZO8kC7aUHLtbzePxm3vN4ezua&#10;jh0Veg225OtVzpmyEmptDyV/erx7954zH4StRQdWlfykPL/dvX2zHVyhNtBCVytkRGJ9MbiStyG4&#10;Isu8bJURfgVOWTpsAI0ItMVDVqMYiN102SbPr7IBsHYIUnlP0f10yGdGfA0hNI2Wag+yN8qGiRVV&#10;JwJJ8q12nu9St02jZLhvGq8C60pOSkNaqQjhKq7ZbiuKAwrXajm3IF7TwjNNRmhLRc9UexEE61G/&#10;oDJaInhowkqCySYhyRFSsc6fefPQCqeSFrLau7Pp/v/Ryu/HH8h0XfLNmjMrDL34oxoD+wgju4j2&#10;DM4XlPXgKC+MFKahWeI+BqvhG9R0TfQBkgdjgyZ6QeoYZZPVp7PVkVpS8OYqv7685EzS0eb64oYw&#10;1cpEsVx26MNnBYZFUHKkl0zk4vjVhyl1SYm1LNzprkuv2dl/AsQZI1nUEfudFIWxGmdxFdQnkoEw&#10;DQd9DQIt4C/OBhqMkvufvUDFWffFkvNxihaAC6gWIKykqyUPnE3wU5imrXeoDy0xr5MMCx/IrkYn&#10;KbG1qYu5T3rsZMY8mHGa/t6nrD+fcfc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L46OdgAAAAK&#10;AQAADwAAAAAAAAABACAAAAAiAAAAZHJzL2Rvd25yZXYueG1sUEsBAhQAFAAAAAgAh07iQIPfVC/j&#10;AQAA1AMAAA4AAAAAAAAAAQAgAAAAJwEAAGRycy9lMm9Eb2MueG1sUEsFBgAAAAAGAAYAWQEAAHwF&#10;AAAAAA==&#10;">
              <v:fill on="f" focussize="0,0"/>
              <v:stroke on="f"/>
              <v:imagedata o:title=""/>
              <o:lock v:ext="edit" aspectratio="f"/>
              <v:textbox inset="0mm,0mm,0mm,0mm">
                <w:txbxContent>
                  <w:p w14:paraId="62D531B1">
                    <w:pPr>
                      <w:jc w:val="right"/>
                      <w:rPr>
                        <w:b/>
                        <w:bCs/>
                        <w:color w:val="FFFFFF"/>
                        <w:szCs w:val="28"/>
                      </w:rPr>
                    </w:pPr>
                  </w:p>
                </w:txbxContent>
              </v:textbox>
              <w10:wrap type="tigh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7"/>
      <w:lvlText w:val="%1."/>
      <w:lvlJc w:val="left"/>
      <w:pPr>
        <w:tabs>
          <w:tab w:val="left" w:pos="643"/>
        </w:tabs>
        <w:ind w:left="643" w:hanging="360"/>
      </w:pPr>
    </w:lvl>
  </w:abstractNum>
  <w:abstractNum w:abstractNumId="1">
    <w:nsid w:val="08EC6C1E"/>
    <w:multiLevelType w:val="multilevel"/>
    <w:tmpl w:val="08EC6C1E"/>
    <w:lvl w:ilvl="0" w:tentative="0">
      <w:start w:val="1"/>
      <w:numFmt w:val="bullet"/>
      <w:pStyle w:val="21"/>
      <w:lvlText w:val=""/>
      <w:lvlJc w:val="left"/>
      <w:pPr>
        <w:ind w:left="720" w:hanging="360"/>
      </w:pPr>
      <w:rPr>
        <w:rFonts w:hint="default" w:ascii="Symbol" w:hAnsi="Symbol"/>
        <w:color w:val="81C063"/>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0E0B7221"/>
    <w:multiLevelType w:val="multilevel"/>
    <w:tmpl w:val="0E0B722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29268A8"/>
    <w:multiLevelType w:val="multilevel"/>
    <w:tmpl w:val="229268A8"/>
    <w:lvl w:ilvl="0" w:tentative="0">
      <w:start w:val="1"/>
      <w:numFmt w:val="decimal"/>
      <w:pStyle w:val="49"/>
      <w:lvlText w:val="%1."/>
      <w:lvlJc w:val="left"/>
      <w:pPr>
        <w:ind w:left="720" w:hanging="360"/>
      </w:pPr>
      <w:rPr>
        <w:rFonts w:hint="default"/>
        <w:color w:val="81C063"/>
      </w:rPr>
    </w:lvl>
    <w:lvl w:ilvl="1" w:tentative="0">
      <w:start w:val="1"/>
      <w:numFmt w:val="decimal"/>
      <w:lvlText w:val="%1.%2."/>
      <w:lvlJc w:val="left"/>
      <w:pPr>
        <w:ind w:left="1152" w:hanging="432"/>
      </w:pPr>
      <w:rPr>
        <w:rFonts w:hint="default"/>
      </w:rPr>
    </w:lvl>
    <w:lvl w:ilvl="2" w:tentative="0">
      <w:start w:val="1"/>
      <w:numFmt w:val="decimal"/>
      <w:lvlText w:val="%1.%2.%3."/>
      <w:lvlJc w:val="left"/>
      <w:pPr>
        <w:ind w:left="1584" w:hanging="504"/>
      </w:pPr>
      <w:rPr>
        <w:rFonts w:hint="default"/>
      </w:rPr>
    </w:lvl>
    <w:lvl w:ilvl="3" w:tentative="0">
      <w:start w:val="1"/>
      <w:numFmt w:val="decimal"/>
      <w:lvlText w:val="%1.%2.%3.%4."/>
      <w:lvlJc w:val="left"/>
      <w:pPr>
        <w:ind w:left="2088" w:hanging="648"/>
      </w:pPr>
      <w:rPr>
        <w:rFonts w:hint="default"/>
      </w:rPr>
    </w:lvl>
    <w:lvl w:ilvl="4" w:tentative="0">
      <w:start w:val="1"/>
      <w:numFmt w:val="decimal"/>
      <w:lvlText w:val="%1.%2.%3.%4.%5."/>
      <w:lvlJc w:val="left"/>
      <w:pPr>
        <w:ind w:left="2592" w:hanging="792"/>
      </w:pPr>
      <w:rPr>
        <w:rFonts w:hint="default"/>
      </w:rPr>
    </w:lvl>
    <w:lvl w:ilvl="5" w:tentative="0">
      <w:start w:val="1"/>
      <w:numFmt w:val="decimal"/>
      <w:lvlText w:val="%1.%2.%3.%4.%5.%6."/>
      <w:lvlJc w:val="left"/>
      <w:pPr>
        <w:ind w:left="3096" w:hanging="936"/>
      </w:pPr>
      <w:rPr>
        <w:rFonts w:hint="default"/>
      </w:rPr>
    </w:lvl>
    <w:lvl w:ilvl="6" w:tentative="0">
      <w:start w:val="1"/>
      <w:numFmt w:val="decimal"/>
      <w:lvlText w:val="%1.%2.%3.%4.%5.%6.%7."/>
      <w:lvlJc w:val="left"/>
      <w:pPr>
        <w:ind w:left="3600" w:hanging="1080"/>
      </w:pPr>
      <w:rPr>
        <w:rFonts w:hint="default"/>
      </w:rPr>
    </w:lvl>
    <w:lvl w:ilvl="7" w:tentative="0">
      <w:start w:val="1"/>
      <w:numFmt w:val="decimal"/>
      <w:lvlText w:val="%1.%2.%3.%4.%5.%6.%7.%8."/>
      <w:lvlJc w:val="left"/>
      <w:pPr>
        <w:ind w:left="4104" w:hanging="1224"/>
      </w:pPr>
      <w:rPr>
        <w:rFonts w:hint="default"/>
      </w:rPr>
    </w:lvl>
    <w:lvl w:ilvl="8" w:tentative="0">
      <w:start w:val="1"/>
      <w:numFmt w:val="decimal"/>
      <w:lvlText w:val="%1.%2.%3.%4.%5.%6.%7.%8.%9."/>
      <w:lvlJc w:val="left"/>
      <w:pPr>
        <w:ind w:left="4680" w:hanging="1440"/>
      </w:pPr>
      <w:rPr>
        <w:rFonts w:hint="default"/>
      </w:rPr>
    </w:lvl>
  </w:abstractNum>
  <w:abstractNum w:abstractNumId="4">
    <w:nsid w:val="3CADCDB7"/>
    <w:multiLevelType w:val="multilevel"/>
    <w:tmpl w:val="3CADCDB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BDCF619"/>
    <w:multiLevelType w:val="multilevel"/>
    <w:tmpl w:val="4BDCF61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4F819B6"/>
    <w:multiLevelType w:val="multilevel"/>
    <w:tmpl w:val="74F819B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6E267E4"/>
    <w:multiLevelType w:val="multilevel"/>
    <w:tmpl w:val="76E267E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425"/>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strictFirstAndLastChars w:val="1"/>
  <w:footnotePr>
    <w:footnote w:id="0"/>
    <w:footnote w:id="1"/>
  </w:footnotePr>
  <w:endnotePr>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 w:val="2F65745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0" w:semiHidden="0" w:name="footer"/>
    <w:lsdException w:uiPriority="99" w:name="index heading"/>
    <w:lsdException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semiHidden="0" w:name="List 2"/>
    <w:lsdException w:uiPriority="99" w:semiHidden="0" w:name="List 3"/>
    <w:lsdException w:uiPriority="99" w:semiHidden="0" w:name="List 4"/>
    <w:lsdException w:uiPriority="99" w:semiHidden="0" w:name="List 5"/>
    <w:lsdException w:uiPriority="99" w:name="List Bullet 2"/>
    <w:lsdException w:uiPriority="99" w:name="List Bullet 3"/>
    <w:lsdException w:uiPriority="99" w:name="List Bullet 4"/>
    <w:lsdException w:uiPriority="99" w:name="List Bullet 5"/>
    <w:lsdException w:uiPriority="99" w:semiHidden="0"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1" w:semiHidden="0" w:name="No Spacing"/>
    <w:lsdException w:qFormat="1" w:unhideWhenUsed="0" w:uiPriority="34" w:semiHidden="0" w:name="List Paragraph"/>
    <w:lsdException w:unhideWhenUsed="0" w:uiPriority="29" w:semiHidden="0" w:name="Quote"/>
  </w:latentStyles>
  <w:style w:type="paragraph" w:default="1" w:styleId="1">
    <w:name w:val="Normal"/>
    <w:qFormat/>
    <w:uiPriority w:val="0"/>
    <w:pPr>
      <w:suppressAutoHyphens/>
      <w:spacing w:line="360" w:lineRule="auto"/>
    </w:pPr>
    <w:rPr>
      <w:rFonts w:ascii="Verdana" w:hAnsi="Verdana" w:eastAsia="Noto Sans CJK SC Regular" w:cs="FreeSans"/>
      <w:kern w:val="1"/>
      <w:sz w:val="28"/>
      <w:szCs w:val="24"/>
      <w:lang w:val="es-ES" w:eastAsia="zh-CN" w:bidi="ar-SA"/>
    </w:rPr>
  </w:style>
  <w:style w:type="paragraph" w:styleId="2">
    <w:name w:val="heading 1"/>
    <w:basedOn w:val="1"/>
    <w:next w:val="1"/>
    <w:link w:val="38"/>
    <w:qFormat/>
    <w:uiPriority w:val="9"/>
    <w:pPr>
      <w:keepNext/>
      <w:pBdr>
        <w:left w:val="single" w:color="81C063" w:sz="36" w:space="0"/>
      </w:pBdr>
      <w:shd w:val="clear" w:color="auto" w:fill="F1F1F1" w:themeFill="background1" w:themeFillShade="F2"/>
      <w:spacing w:before="240" w:after="240" w:line="240" w:lineRule="auto"/>
      <w:outlineLvl w:val="0"/>
    </w:pPr>
    <w:rPr>
      <w:rFonts w:eastAsia="Times New Roman" w:cs="Mangal"/>
      <w:b/>
      <w:bCs/>
      <w:color w:val="000000"/>
      <w:kern w:val="32"/>
      <w:sz w:val="36"/>
      <w:szCs w:val="29"/>
    </w:rPr>
  </w:style>
  <w:style w:type="paragraph" w:styleId="3">
    <w:name w:val="heading 2"/>
    <w:basedOn w:val="1"/>
    <w:next w:val="1"/>
    <w:link w:val="43"/>
    <w:unhideWhenUsed/>
    <w:qFormat/>
    <w:uiPriority w:val="9"/>
    <w:pPr>
      <w:keepNext/>
      <w:pBdr>
        <w:left w:val="single" w:color="81C063" w:sz="18" w:space="0"/>
      </w:pBdr>
      <w:shd w:val="clear" w:color="auto" w:fill="FFFFFF"/>
      <w:spacing w:before="240" w:after="60" w:line="240" w:lineRule="auto"/>
      <w:outlineLvl w:val="1"/>
    </w:pPr>
    <w:rPr>
      <w:rFonts w:eastAsia="Times New Roman" w:cs="Mangal"/>
      <w:b/>
      <w:bCs/>
      <w:iCs/>
      <w:sz w:val="32"/>
      <w:szCs w:val="25"/>
    </w:rPr>
  </w:style>
  <w:style w:type="paragraph" w:styleId="4">
    <w:name w:val="heading 3"/>
    <w:basedOn w:val="1"/>
    <w:next w:val="1"/>
    <w:link w:val="44"/>
    <w:unhideWhenUsed/>
    <w:qFormat/>
    <w:uiPriority w:val="9"/>
    <w:pPr>
      <w:keepNext/>
      <w:pBdr>
        <w:left w:val="single" w:color="BEBEBE" w:themeColor="background1" w:themeShade="BF" w:sz="6" w:space="5"/>
      </w:pBdr>
      <w:shd w:val="clear" w:color="auto" w:fill="FFFFFF" w:themeFill="background1"/>
      <w:spacing w:before="240" w:after="60" w:line="240" w:lineRule="auto"/>
      <w:outlineLvl w:val="2"/>
    </w:pPr>
    <w:rPr>
      <w:rFonts w:eastAsia="Times New Roman" w:cs="Mangal"/>
      <w:b/>
      <w:bCs/>
      <w:color w:val="000000"/>
      <w:szCs w:val="23"/>
    </w:rPr>
  </w:style>
  <w:style w:type="paragraph" w:styleId="5">
    <w:name w:val="heading 4"/>
    <w:basedOn w:val="1"/>
    <w:next w:val="1"/>
    <w:link w:val="31"/>
    <w:unhideWhenUsed/>
    <w:qFormat/>
    <w:uiPriority w:val="9"/>
    <w:pPr>
      <w:keepNext/>
      <w:spacing w:before="240" w:after="60"/>
      <w:outlineLvl w:val="3"/>
    </w:pPr>
    <w:rPr>
      <w:rFonts w:ascii="Calibri" w:hAnsi="Calibri" w:eastAsia="Times New Roman" w:cs="Mangal"/>
      <w:b/>
      <w:bCs/>
      <w:szCs w:val="25"/>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uiPriority w:val="20"/>
    <w:rPr>
      <w:i/>
      <w:iCs/>
    </w:rPr>
  </w:style>
  <w:style w:type="character" w:styleId="9">
    <w:name w:val="Hyperlink"/>
    <w:unhideWhenUsed/>
    <w:uiPriority w:val="99"/>
    <w:rPr>
      <w:rFonts w:ascii="Verdana" w:hAnsi="Verdana"/>
      <w:color w:val="5EB345"/>
      <w:u w:val="single"/>
    </w:rPr>
  </w:style>
  <w:style w:type="character" w:styleId="10">
    <w:name w:val="FollowedHyperlink"/>
    <w:semiHidden/>
    <w:unhideWhenUsed/>
    <w:uiPriority w:val="99"/>
    <w:rPr>
      <w:rFonts w:ascii="Verdana" w:hAnsi="Verdana"/>
      <w:color w:val="5EB345"/>
      <w:u w:val="single"/>
    </w:rPr>
  </w:style>
  <w:style w:type="character" w:styleId="11">
    <w:name w:val="Strong"/>
    <w:uiPriority w:val="22"/>
    <w:rPr>
      <w:b/>
      <w:bCs/>
    </w:rPr>
  </w:style>
  <w:style w:type="paragraph" w:styleId="12">
    <w:name w:val="toc 3"/>
    <w:basedOn w:val="1"/>
    <w:next w:val="1"/>
    <w:autoRedefine/>
    <w:unhideWhenUsed/>
    <w:uiPriority w:val="39"/>
    <w:pPr>
      <w:ind w:left="560"/>
    </w:pPr>
    <w:rPr>
      <w:rFonts w:cs="Mangal"/>
    </w:rPr>
  </w:style>
  <w:style w:type="paragraph" w:styleId="13">
    <w:name w:val="toc 1"/>
    <w:basedOn w:val="1"/>
    <w:next w:val="1"/>
    <w:autoRedefine/>
    <w:unhideWhenUsed/>
    <w:uiPriority w:val="39"/>
    <w:pPr>
      <w:tabs>
        <w:tab w:val="right" w:leader="dot" w:pos="9628"/>
      </w:tabs>
    </w:pPr>
    <w:rPr>
      <w:rFonts w:cs="Mangal"/>
      <w:b/>
      <w:color w:val="000000"/>
      <w:szCs w:val="21"/>
    </w:rPr>
  </w:style>
  <w:style w:type="paragraph" w:styleId="14">
    <w:name w:val="toc 2"/>
    <w:basedOn w:val="1"/>
    <w:next w:val="1"/>
    <w:autoRedefine/>
    <w:unhideWhenUsed/>
    <w:uiPriority w:val="39"/>
    <w:pPr>
      <w:ind w:left="240"/>
    </w:pPr>
    <w:rPr>
      <w:rFonts w:cs="Mangal"/>
      <w:szCs w:val="21"/>
    </w:rPr>
  </w:style>
  <w:style w:type="paragraph" w:styleId="15">
    <w:name w:val="Balloon Text"/>
    <w:basedOn w:val="1"/>
    <w:link w:val="54"/>
    <w:semiHidden/>
    <w:unhideWhenUsed/>
    <w:uiPriority w:val="99"/>
    <w:pPr>
      <w:spacing w:line="240" w:lineRule="auto"/>
    </w:pPr>
    <w:rPr>
      <w:rFonts w:ascii="Times New Roman" w:hAnsi="Times New Roman" w:cs="Mangal"/>
      <w:sz w:val="18"/>
      <w:szCs w:val="16"/>
    </w:rPr>
  </w:style>
  <w:style w:type="paragraph" w:styleId="16">
    <w:name w:val="List 3"/>
    <w:basedOn w:val="1"/>
    <w:unhideWhenUsed/>
    <w:uiPriority w:val="99"/>
    <w:pPr>
      <w:ind w:left="849" w:hanging="283"/>
      <w:contextualSpacing/>
    </w:pPr>
    <w:rPr>
      <w:rFonts w:cs="Mangal"/>
    </w:rPr>
  </w:style>
  <w:style w:type="paragraph" w:styleId="17">
    <w:name w:val="List Number 2"/>
    <w:basedOn w:val="1"/>
    <w:unhideWhenUsed/>
    <w:uiPriority w:val="99"/>
    <w:pPr>
      <w:numPr>
        <w:ilvl w:val="0"/>
        <w:numId w:val="1"/>
      </w:numPr>
      <w:contextualSpacing/>
    </w:pPr>
    <w:rPr>
      <w:rFonts w:cs="Mangal"/>
    </w:rPr>
  </w:style>
  <w:style w:type="paragraph" w:styleId="18">
    <w:name w:val="header"/>
    <w:basedOn w:val="1"/>
    <w:link w:val="48"/>
    <w:unhideWhenUsed/>
    <w:uiPriority w:val="99"/>
    <w:pPr>
      <w:tabs>
        <w:tab w:val="center" w:pos="4252"/>
        <w:tab w:val="right" w:pos="8504"/>
      </w:tabs>
    </w:pPr>
    <w:rPr>
      <w:rFonts w:cs="Mangal"/>
    </w:rPr>
  </w:style>
  <w:style w:type="paragraph" w:styleId="19">
    <w:name w:val="List 2"/>
    <w:basedOn w:val="1"/>
    <w:unhideWhenUsed/>
    <w:uiPriority w:val="99"/>
    <w:pPr>
      <w:ind w:left="566" w:hanging="283"/>
      <w:contextualSpacing/>
    </w:pPr>
    <w:rPr>
      <w:rFonts w:cs="Mangal"/>
    </w:rPr>
  </w:style>
  <w:style w:type="paragraph" w:styleId="20">
    <w:name w:val="List 5"/>
    <w:basedOn w:val="1"/>
    <w:unhideWhenUsed/>
    <w:uiPriority w:val="99"/>
    <w:pPr>
      <w:ind w:left="1415" w:hanging="283"/>
      <w:contextualSpacing/>
    </w:pPr>
    <w:rPr>
      <w:rFonts w:cs="Mangal"/>
    </w:rPr>
  </w:style>
  <w:style w:type="paragraph" w:styleId="21">
    <w:name w:val="List"/>
    <w:basedOn w:val="1"/>
    <w:link w:val="58"/>
    <w:uiPriority w:val="0"/>
    <w:pPr>
      <w:numPr>
        <w:ilvl w:val="0"/>
        <w:numId w:val="2"/>
      </w:numPr>
      <w:spacing w:after="140" w:line="288" w:lineRule="auto"/>
    </w:pPr>
  </w:style>
  <w:style w:type="paragraph" w:styleId="22">
    <w:name w:val="List 4"/>
    <w:basedOn w:val="1"/>
    <w:unhideWhenUsed/>
    <w:uiPriority w:val="99"/>
    <w:pPr>
      <w:ind w:left="1132" w:hanging="283"/>
      <w:contextualSpacing/>
    </w:pPr>
    <w:rPr>
      <w:rFonts w:cs="Mangal"/>
    </w:rPr>
  </w:style>
  <w:style w:type="paragraph" w:styleId="23">
    <w:name w:val="footer"/>
    <w:basedOn w:val="1"/>
    <w:uiPriority w:val="0"/>
    <w:pPr>
      <w:suppressLineNumbers/>
      <w:tabs>
        <w:tab w:val="center" w:pos="4819"/>
        <w:tab w:val="right" w:pos="9638"/>
      </w:tabs>
      <w:jc w:val="right"/>
    </w:pPr>
    <w:rPr>
      <w:b/>
    </w:rPr>
  </w:style>
  <w:style w:type="paragraph" w:styleId="24">
    <w:name w:val="Subtitle"/>
    <w:basedOn w:val="1"/>
    <w:next w:val="1"/>
    <w:link w:val="42"/>
    <w:uiPriority w:val="11"/>
    <w:pPr>
      <w:spacing w:after="60"/>
      <w:outlineLvl w:val="1"/>
    </w:pPr>
    <w:rPr>
      <w:rFonts w:eastAsia="Times New Roman" w:cs="Mangal"/>
      <w:b/>
      <w:color w:val="006D3C"/>
      <w:kern w:val="24"/>
      <w:szCs w:val="21"/>
    </w:rPr>
  </w:style>
  <w:style w:type="paragraph" w:styleId="25">
    <w:name w:val="Title"/>
    <w:basedOn w:val="1"/>
    <w:next w:val="1"/>
    <w:link w:val="41"/>
    <w:uiPriority w:val="10"/>
    <w:pPr>
      <w:pBdr>
        <w:left w:val="single" w:color="auto" w:sz="24" w:space="2"/>
      </w:pBdr>
      <w:spacing w:before="240" w:after="60"/>
      <w:outlineLvl w:val="0"/>
    </w:pPr>
    <w:rPr>
      <w:rFonts w:eastAsia="Times New Roman" w:cs="Mangal"/>
      <w:b/>
      <w:bCs/>
      <w:color w:val="006D3C"/>
      <w:kern w:val="28"/>
      <w:sz w:val="32"/>
      <w:szCs w:val="29"/>
    </w:rPr>
  </w:style>
  <w:style w:type="table" w:styleId="26">
    <w:name w:val="Table Grid"/>
    <w:basedOn w:val="7"/>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No Spacing"/>
    <w:uiPriority w:val="1"/>
    <w:pPr>
      <w:suppressAutoHyphens/>
    </w:pPr>
    <w:rPr>
      <w:rFonts w:ascii="Arial" w:hAnsi="Arial" w:eastAsia="Noto Sans CJK SC Regular" w:cs="Mangal"/>
      <w:kern w:val="1"/>
      <w:sz w:val="28"/>
      <w:szCs w:val="24"/>
      <w:lang w:val="es-ES" w:eastAsia="zh-CN" w:bidi="hi-IN"/>
    </w:rPr>
  </w:style>
  <w:style w:type="character" w:customStyle="1" w:styleId="28">
    <w:name w:val="Subtle Emphasis"/>
    <w:uiPriority w:val="19"/>
    <w:rPr>
      <w:i/>
      <w:iCs/>
      <w:color w:val="404040"/>
    </w:rPr>
  </w:style>
  <w:style w:type="paragraph" w:customStyle="1" w:styleId="29">
    <w:name w:val="Epígrafe1"/>
    <w:basedOn w:val="1"/>
    <w:uiPriority w:val="0"/>
    <w:pPr>
      <w:suppressLineNumbers/>
      <w:spacing w:before="120" w:after="120"/>
    </w:pPr>
    <w:rPr>
      <w:iCs/>
      <w:sz w:val="24"/>
    </w:rPr>
  </w:style>
  <w:style w:type="paragraph" w:customStyle="1" w:styleId="30">
    <w:name w:val="Índice"/>
    <w:basedOn w:val="1"/>
    <w:uiPriority w:val="0"/>
    <w:pPr>
      <w:suppressLineNumbers/>
    </w:pPr>
  </w:style>
  <w:style w:type="character" w:customStyle="1" w:styleId="31">
    <w:name w:val="Título 4 Car"/>
    <w:link w:val="5"/>
    <w:uiPriority w:val="9"/>
    <w:rPr>
      <w:rFonts w:ascii="Calibri" w:hAnsi="Calibri" w:eastAsia="Times New Roman" w:cs="Mangal"/>
      <w:b/>
      <w:bCs/>
      <w:kern w:val="1"/>
      <w:sz w:val="28"/>
      <w:szCs w:val="25"/>
      <w:lang w:eastAsia="zh-CN" w:bidi="hi-IN"/>
    </w:rPr>
  </w:style>
  <w:style w:type="paragraph" w:customStyle="1" w:styleId="32">
    <w:name w:val="Encabezado de la tabla"/>
    <w:basedOn w:val="1"/>
    <w:uiPriority w:val="0"/>
    <w:pPr>
      <w:suppressLineNumbers/>
      <w:jc w:val="center"/>
    </w:pPr>
    <w:rPr>
      <w:b/>
      <w:bCs/>
    </w:rPr>
  </w:style>
  <w:style w:type="paragraph" w:customStyle="1" w:styleId="33">
    <w:name w:val="A1"/>
    <w:basedOn w:val="1"/>
    <w:link w:val="35"/>
    <w:autoRedefine/>
    <w:uiPriority w:val="0"/>
    <w:pPr>
      <w:spacing w:line="240" w:lineRule="auto"/>
    </w:pPr>
    <w:rPr>
      <w:b/>
      <w:color w:val="000000"/>
      <w:sz w:val="44"/>
    </w:rPr>
  </w:style>
  <w:style w:type="paragraph" w:customStyle="1" w:styleId="34">
    <w:name w:val="A2"/>
    <w:basedOn w:val="1"/>
    <w:link w:val="37"/>
    <w:autoRedefine/>
    <w:uiPriority w:val="0"/>
    <w:rPr>
      <w:color w:val="000000"/>
    </w:rPr>
  </w:style>
  <w:style w:type="character" w:customStyle="1" w:styleId="35">
    <w:name w:val="A1 Car"/>
    <w:link w:val="33"/>
    <w:uiPriority w:val="0"/>
    <w:rPr>
      <w:rFonts w:ascii="Verdana" w:hAnsi="Verdana" w:eastAsia="Noto Sans CJK SC Regular" w:cs="FreeSans"/>
      <w:b/>
      <w:color w:val="000000"/>
      <w:kern w:val="1"/>
      <w:sz w:val="44"/>
      <w:szCs w:val="24"/>
      <w:lang w:eastAsia="zh-CN" w:bidi="hi-IN"/>
    </w:rPr>
  </w:style>
  <w:style w:type="paragraph" w:customStyle="1" w:styleId="36">
    <w:name w:val="A3"/>
    <w:basedOn w:val="1"/>
    <w:link w:val="39"/>
    <w:uiPriority w:val="0"/>
    <w:pPr>
      <w:spacing w:line="240" w:lineRule="auto"/>
    </w:pPr>
    <w:rPr>
      <w:b/>
      <w:color w:val="006D3C"/>
      <w:sz w:val="32"/>
    </w:rPr>
  </w:style>
  <w:style w:type="character" w:customStyle="1" w:styleId="37">
    <w:name w:val="A2 Car"/>
    <w:link w:val="34"/>
    <w:uiPriority w:val="0"/>
    <w:rPr>
      <w:rFonts w:ascii="Verdana" w:hAnsi="Verdana" w:eastAsia="Noto Sans CJK SC Regular" w:cs="FreeSans"/>
      <w:color w:val="000000"/>
      <w:kern w:val="1"/>
      <w:sz w:val="28"/>
      <w:szCs w:val="24"/>
      <w:lang w:eastAsia="zh-CN" w:bidi="hi-IN"/>
    </w:rPr>
  </w:style>
  <w:style w:type="character" w:customStyle="1" w:styleId="38">
    <w:name w:val="Título 1 Car"/>
    <w:link w:val="2"/>
    <w:uiPriority w:val="9"/>
    <w:rPr>
      <w:rFonts w:ascii="Verdana" w:hAnsi="Verdana" w:cs="Mangal"/>
      <w:b/>
      <w:bCs/>
      <w:color w:val="000000"/>
      <w:kern w:val="32"/>
      <w:sz w:val="36"/>
      <w:szCs w:val="29"/>
      <w:shd w:val="clear" w:color="auto" w:fill="F1F1F1" w:themeFill="background1" w:themeFillShade="F2"/>
      <w:lang w:eastAsia="zh-CN" w:bidi="hi-IN"/>
    </w:rPr>
  </w:style>
  <w:style w:type="character" w:customStyle="1" w:styleId="39">
    <w:name w:val="A3 Car"/>
    <w:link w:val="36"/>
    <w:uiPriority w:val="0"/>
    <w:rPr>
      <w:rFonts w:ascii="Verdana" w:hAnsi="Verdana" w:eastAsia="Noto Sans CJK SC Regular" w:cs="FreeSans"/>
      <w:b/>
      <w:color w:val="006D3C"/>
      <w:kern w:val="1"/>
      <w:sz w:val="32"/>
      <w:szCs w:val="24"/>
      <w:lang w:eastAsia="zh-CN" w:bidi="hi-IN"/>
    </w:rPr>
  </w:style>
  <w:style w:type="paragraph" w:customStyle="1" w:styleId="40">
    <w:name w:val="Título de TDC"/>
    <w:basedOn w:val="2"/>
    <w:next w:val="1"/>
    <w:semiHidden/>
    <w:unhideWhenUsed/>
    <w:qFormat/>
    <w:uiPriority w:val="39"/>
    <w:pPr>
      <w:keepLines/>
      <w:suppressAutoHyphens w:val="0"/>
      <w:spacing w:before="480" w:after="0" w:line="276" w:lineRule="auto"/>
      <w:outlineLvl w:val="9"/>
    </w:pPr>
    <w:rPr>
      <w:rFonts w:cs="Times New Roman"/>
      <w:color w:val="365F91"/>
      <w:kern w:val="0"/>
      <w:sz w:val="28"/>
      <w:szCs w:val="28"/>
      <w:lang w:eastAsia="es-ES"/>
    </w:rPr>
  </w:style>
  <w:style w:type="character" w:customStyle="1" w:styleId="41">
    <w:name w:val="Título Car"/>
    <w:link w:val="25"/>
    <w:uiPriority w:val="10"/>
    <w:rPr>
      <w:rFonts w:ascii="Arial" w:hAnsi="Arial" w:cs="Mangal"/>
      <w:b/>
      <w:bCs/>
      <w:color w:val="006D3C"/>
      <w:kern w:val="28"/>
      <w:sz w:val="32"/>
      <w:szCs w:val="29"/>
      <w:lang w:eastAsia="zh-CN" w:bidi="hi-IN"/>
    </w:rPr>
  </w:style>
  <w:style w:type="character" w:customStyle="1" w:styleId="42">
    <w:name w:val="Subtítulo Car"/>
    <w:link w:val="24"/>
    <w:uiPriority w:val="11"/>
    <w:rPr>
      <w:rFonts w:ascii="Verdana" w:hAnsi="Verdana" w:eastAsia="Times New Roman" w:cs="Mangal"/>
      <w:b/>
      <w:color w:val="006D3C"/>
      <w:kern w:val="24"/>
      <w:sz w:val="28"/>
      <w:szCs w:val="21"/>
      <w:lang w:eastAsia="zh-CN" w:bidi="hi-IN"/>
    </w:rPr>
  </w:style>
  <w:style w:type="character" w:customStyle="1" w:styleId="43">
    <w:name w:val="Título 2 Car"/>
    <w:link w:val="3"/>
    <w:uiPriority w:val="9"/>
    <w:rPr>
      <w:rFonts w:ascii="Verdana" w:hAnsi="Verdana" w:cs="Mangal"/>
      <w:b/>
      <w:bCs/>
      <w:iCs/>
      <w:kern w:val="1"/>
      <w:sz w:val="32"/>
      <w:szCs w:val="25"/>
      <w:shd w:val="clear" w:color="auto" w:fill="FFFFFF"/>
      <w:lang w:eastAsia="zh-CN" w:bidi="hi-IN"/>
    </w:rPr>
  </w:style>
  <w:style w:type="character" w:customStyle="1" w:styleId="44">
    <w:name w:val="Título 3 Car"/>
    <w:link w:val="4"/>
    <w:uiPriority w:val="9"/>
    <w:rPr>
      <w:rFonts w:ascii="Verdana" w:hAnsi="Verdana" w:cs="Mangal"/>
      <w:b/>
      <w:bCs/>
      <w:color w:val="000000"/>
      <w:kern w:val="1"/>
      <w:sz w:val="28"/>
      <w:szCs w:val="23"/>
      <w:shd w:val="clear" w:color="auto" w:fill="FFFFFF" w:themeFill="background1"/>
      <w:lang w:eastAsia="zh-CN" w:bidi="hi-IN"/>
    </w:rPr>
  </w:style>
  <w:style w:type="paragraph" w:styleId="45">
    <w:name w:val="Quote"/>
    <w:basedOn w:val="1"/>
    <w:next w:val="1"/>
    <w:link w:val="46"/>
    <w:uiPriority w:val="29"/>
    <w:pPr>
      <w:spacing w:before="200" w:after="160"/>
      <w:ind w:left="864" w:right="864"/>
      <w:jc w:val="center"/>
    </w:pPr>
    <w:rPr>
      <w:rFonts w:cs="Mangal"/>
      <w:i/>
      <w:iCs/>
      <w:color w:val="404040"/>
    </w:rPr>
  </w:style>
  <w:style w:type="character" w:customStyle="1" w:styleId="46">
    <w:name w:val="Cita Car"/>
    <w:link w:val="45"/>
    <w:uiPriority w:val="29"/>
    <w:rPr>
      <w:rFonts w:ascii="Arial" w:hAnsi="Arial" w:eastAsia="Noto Sans CJK SC Regular" w:cs="Mangal"/>
      <w:i/>
      <w:iCs/>
      <w:color w:val="404040"/>
      <w:kern w:val="1"/>
      <w:sz w:val="28"/>
      <w:szCs w:val="24"/>
      <w:lang w:eastAsia="zh-CN" w:bidi="hi-IN"/>
    </w:rPr>
  </w:style>
  <w:style w:type="paragraph" w:customStyle="1" w:styleId="47">
    <w:name w:val="Intro"/>
    <w:basedOn w:val="24"/>
    <w:uiPriority w:val="0"/>
    <w:rPr>
      <w:b w:val="0"/>
      <w:color w:val="000000"/>
    </w:rPr>
  </w:style>
  <w:style w:type="character" w:customStyle="1" w:styleId="48">
    <w:name w:val="Encabezado Car"/>
    <w:link w:val="18"/>
    <w:uiPriority w:val="99"/>
    <w:rPr>
      <w:rFonts w:ascii="Arial" w:hAnsi="Arial" w:eastAsia="Noto Sans CJK SC Regular" w:cs="Mangal"/>
      <w:kern w:val="1"/>
      <w:sz w:val="28"/>
      <w:szCs w:val="24"/>
      <w:lang w:eastAsia="zh-CN" w:bidi="hi-IN"/>
    </w:rPr>
  </w:style>
  <w:style w:type="paragraph" w:customStyle="1" w:styleId="49">
    <w:name w:val="Lista-2"/>
    <w:basedOn w:val="1"/>
    <w:qFormat/>
    <w:uiPriority w:val="0"/>
    <w:pPr>
      <w:numPr>
        <w:ilvl w:val="0"/>
        <w:numId w:val="3"/>
      </w:numPr>
    </w:pPr>
    <w:rPr>
      <w:color w:val="000000"/>
    </w:rPr>
  </w:style>
  <w:style w:type="paragraph" w:customStyle="1" w:styleId="50">
    <w:name w:val="Nota"/>
    <w:basedOn w:val="1"/>
    <w:qFormat/>
    <w:uiPriority w:val="0"/>
    <w:pPr>
      <w:pBdr>
        <w:top w:val="outset" w:color="A6A6A6" w:sz="6" w:space="15"/>
        <w:left w:val="outset" w:color="A6A6A6" w:sz="6" w:space="15"/>
        <w:bottom w:val="dotted" w:color="A6A6A6" w:sz="4" w:space="15"/>
        <w:right w:val="outset" w:color="A6A6A6" w:sz="6" w:space="15"/>
      </w:pBdr>
      <w:shd w:val="clear" w:color="auto" w:fill="FFFFFF" w:themeFill="background1"/>
      <w:spacing w:line="240" w:lineRule="auto"/>
    </w:pPr>
    <w:rPr>
      <w:sz w:val="26"/>
    </w:rPr>
  </w:style>
  <w:style w:type="paragraph" w:customStyle="1" w:styleId="51">
    <w:name w:val="Encabezado 1"/>
    <w:basedOn w:val="1"/>
    <w:uiPriority w:val="0"/>
    <w:pPr>
      <w:spacing w:line="240" w:lineRule="auto"/>
    </w:pPr>
    <w:rPr>
      <w:b/>
      <w:bCs/>
      <w:color w:val="FFFFFF"/>
      <w:szCs w:val="28"/>
    </w:rPr>
  </w:style>
  <w:style w:type="paragraph" w:customStyle="1" w:styleId="52">
    <w:name w:val="Encabeza 2"/>
    <w:basedOn w:val="1"/>
    <w:uiPriority w:val="0"/>
    <w:rPr>
      <w:rFonts w:cs="Arial"/>
      <w:color w:val="0D0D0D"/>
      <w:sz w:val="20"/>
      <w:szCs w:val="20"/>
    </w:rPr>
  </w:style>
  <w:style w:type="paragraph" w:customStyle="1" w:styleId="53">
    <w:name w:val="Pie de página 2"/>
    <w:basedOn w:val="29"/>
    <w:qFormat/>
    <w:uiPriority w:val="0"/>
    <w:rPr>
      <w:sz w:val="20"/>
    </w:rPr>
  </w:style>
  <w:style w:type="character" w:customStyle="1" w:styleId="54">
    <w:name w:val="Texto de globo Car"/>
    <w:basedOn w:val="6"/>
    <w:link w:val="15"/>
    <w:semiHidden/>
    <w:uiPriority w:val="99"/>
    <w:rPr>
      <w:rFonts w:eastAsia="Noto Sans CJK SC Regular" w:cs="Mangal"/>
      <w:kern w:val="1"/>
      <w:sz w:val="18"/>
      <w:szCs w:val="16"/>
      <w:lang w:eastAsia="zh-CN" w:bidi="hi-IN"/>
    </w:rPr>
  </w:style>
  <w:style w:type="paragraph" w:customStyle="1" w:styleId="55">
    <w:name w:val="Glosa"/>
    <w:basedOn w:val="1"/>
    <w:qFormat/>
    <w:uiPriority w:val="0"/>
    <w:pPr>
      <w:spacing w:before="120" w:line="240" w:lineRule="auto"/>
    </w:pPr>
    <w:rPr>
      <w:sz w:val="26"/>
      <w:lang w:val="en-US"/>
    </w:rPr>
  </w:style>
  <w:style w:type="paragraph" w:customStyle="1" w:styleId="56">
    <w:name w:val="Glosa Título"/>
    <w:basedOn w:val="55"/>
    <w:qFormat/>
    <w:uiPriority w:val="0"/>
    <w:pPr>
      <w:shd w:val="clear" w:color="auto" w:fill="538135" w:themeFill="accent6" w:themeFillShade="BF"/>
    </w:pPr>
    <w:rPr>
      <w:b/>
      <w:color w:val="FFFFFF" w:themeColor="background1"/>
      <w:kern w:val="26"/>
      <w14:textFill>
        <w14:solidFill>
          <w14:schemeClr w14:val="bg1"/>
        </w14:solidFill>
      </w14:textFill>
    </w:rPr>
  </w:style>
  <w:style w:type="paragraph" w:customStyle="1" w:styleId="57">
    <w:name w:val="Lista-1"/>
    <w:basedOn w:val="21"/>
    <w:link w:val="59"/>
    <w:qFormat/>
    <w:uiPriority w:val="0"/>
  </w:style>
  <w:style w:type="character" w:customStyle="1" w:styleId="58">
    <w:name w:val="Lista Car"/>
    <w:basedOn w:val="6"/>
    <w:link w:val="21"/>
    <w:uiPriority w:val="0"/>
    <w:rPr>
      <w:rFonts w:ascii="Verdana" w:hAnsi="Verdana" w:eastAsia="Noto Sans CJK SC Regular" w:cs="FreeSans"/>
      <w:kern w:val="1"/>
      <w:sz w:val="28"/>
      <w:szCs w:val="24"/>
      <w:lang w:eastAsia="zh-CN" w:bidi="hi-IN"/>
    </w:rPr>
  </w:style>
  <w:style w:type="character" w:customStyle="1" w:styleId="59">
    <w:name w:val="Lista-1 Car"/>
    <w:basedOn w:val="58"/>
    <w:link w:val="57"/>
    <w:uiPriority w:val="0"/>
    <w:rPr>
      <w:rFonts w:ascii="Verdana" w:hAnsi="Verdana" w:eastAsia="Noto Sans CJK SC Regular" w:cs="FreeSans"/>
      <w:kern w:val="1"/>
      <w:sz w:val="28"/>
      <w:szCs w:val="24"/>
      <w:lang w:eastAsia="zh-CN" w:bidi="hi-IN"/>
    </w:rPr>
  </w:style>
  <w:style w:type="paragraph" w:styleId="60">
    <w:name w:val="List Paragraph"/>
    <w:basedOn w:val="1"/>
    <w:qFormat/>
    <w:uiPriority w:val="34"/>
    <w:pPr>
      <w:ind w:left="720"/>
      <w:contextualSpacing/>
    </w:pPr>
    <w:rPr>
      <w:rFonts w:cs="Mangal"/>
    </w:rPr>
  </w:style>
  <w:style w:type="character" w:customStyle="1" w:styleId="61">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4FA244-B094-4389-9E87-4BE09CE1F1D5}">
  <ds:schemaRefs/>
</ds:datastoreItem>
</file>

<file path=customXml/itemProps3.xml><?xml version="1.0" encoding="utf-8"?>
<ds:datastoreItem xmlns:ds="http://schemas.openxmlformats.org/officeDocument/2006/customXml" ds:itemID="{BF384BAC-F2DE-462B-8CBF-EE459E44B41B}">
  <ds:schemaRefs/>
</ds:datastoreItem>
</file>

<file path=customXml/itemProps4.xml><?xml version="1.0" encoding="utf-8"?>
<ds:datastoreItem xmlns:ds="http://schemas.openxmlformats.org/officeDocument/2006/customXml" ds:itemID="{152CDD3E-5A45-4431-94C4-68BBE984492D}">
  <ds:schemaRefs/>
</ds:datastoreItem>
</file>

<file path=customXml/itemProps5.xml><?xml version="1.0" encoding="utf-8"?>
<ds:datastoreItem xmlns:ds="http://schemas.openxmlformats.org/officeDocument/2006/customXml" ds:itemID="{4AF25BF5-5D0C-4D31-8BAE-BBB16C44E578}">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238</Words>
  <Characters>1314</Characters>
  <Lines>10</Lines>
  <Paragraphs>3</Paragraphs>
  <TotalTime>0</TotalTime>
  <ScaleCrop>false</ScaleCrop>
  <LinksUpToDate>false</LinksUpToDate>
  <CharactersWithSpaces>1549</CharactersWithSpaces>
  <Application>WPS Office_12.2.0.21172_F1E327BC-269C-435d-A152-05C5408002CA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2023-02-20T13:05:00Z</dcterms:created>
  <dc:creator>JJ DE LA TORRE</dc:creator>
  <cp:lastModifiedBy>Arantxa Garcia</cp:lastModifiedBy>
  <cp:lastPrinted>2020-03-11T12:10:00Z</cp:lastPrinted>
  <dcterms:modified xsi:type="dcterms:W3CDTF">2025-05-09T07:43:02Z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y fmtid="{D5CDD505-2E9C-101B-9397-08002B2CF9AE}" pid="3" name="KSOProductBuildVer">
    <vt:lpwstr>3082-12.2.0.21172</vt:lpwstr>
  </property>
  <property fmtid="{D5CDD505-2E9C-101B-9397-08002B2CF9AE}" pid="4" name="ICV">
    <vt:lpwstr>59DE7E615E9C4A64B748B3E4DB81AD53_13</vt:lpwstr>
  </property>
</Properties>
</file>